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1"/>
        <w:keepNext w:val="false"/>
        <w:keepLines w:val="false"/>
        <w:pageBreakBefore w:val="false"/>
        <w:widowControl w:val="false"/>
        <w:shd w:val="clear" w:fill="auto"/>
        <w:spacing w:lineRule="auto" w:line="276" w:before="0" w:after="0"/>
        <w:ind w:hanging="0" w:start="0" w:end="0"/>
        <w:rPr>
          <w:rFonts w:ascii="IBM Plex Serif" w:hAnsi="IBM Plex Serif" w:eastAsia="IBM Plex Serif" w:cs="IBM Plex Serif"/>
          <w:i w:val="false"/>
          <w:i w:val="false"/>
          <w:caps w:val="false"/>
          <w:smallCaps w:val="false"/>
          <w:strike w:val="false"/>
          <w:dstrike w:val="false"/>
          <w:color w:val="000000"/>
          <w:position w:val="0"/>
          <w:sz w:val="22"/>
          <w:sz w:val="22"/>
          <w:szCs w:val="22"/>
          <w:u w:val="none"/>
          <w:shd w:fill="auto" w:val="clear"/>
          <w:vertAlign w:val="baseline"/>
        </w:rPr>
      </w:pPr>
      <w:r>
        <w:rPr>
          <w:rFonts w:eastAsia="IBM Plex Serif" w:cs="IBM Plex Serif" w:ascii="IBM Plex Serif" w:hAnsi="IBM Plex Serif"/>
          <w:i w:val="false"/>
          <w:caps w:val="false"/>
          <w:smallCaps w:val="false"/>
          <w:strike w:val="false"/>
          <w:dstrike w:val="false"/>
          <w:color w:val="000000"/>
          <w:position w:val="0"/>
          <w:sz w:val="22"/>
          <w:sz w:val="22"/>
          <w:szCs w:val="22"/>
          <w:u w:val="none"/>
          <w:shd w:fill="auto" w:val="clear"/>
          <w:vertAlign w:val="baseline"/>
        </w:rPr>
      </w:r>
    </w:p>
    <w:tbl>
      <w:tblPr>
        <w:tblStyle w:val="Table1"/>
        <w:tblW w:w="10169" w:type="dxa"/>
        <w:jc w:val="start"/>
        <w:tblInd w:w="-810" w:type="dxa"/>
        <w:tblLayout w:type="fixed"/>
        <w:tblCellMar>
          <w:top w:w="0" w:type="dxa"/>
          <w:start w:w="108" w:type="dxa"/>
          <w:bottom w:w="0" w:type="dxa"/>
          <w:end w:w="108" w:type="dxa"/>
        </w:tblCellMar>
        <w:tblLook w:val="0000"/>
      </w:tblPr>
      <w:tblGrid>
        <w:gridCol w:w="6119"/>
        <w:gridCol w:w="4049"/>
      </w:tblGrid>
      <w:tr>
        <w:trPr/>
        <w:tc>
          <w:tcPr>
            <w:tcW w:w="6119" w:type="dxa"/>
            <w:tcBorders>
              <w:top w:val="single" w:sz="4" w:space="0" w:color="000000"/>
              <w:bottom w:val="single" w:sz="8" w:space="0" w:color="000000"/>
            </w:tcBorders>
          </w:tcPr>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drawing>
                <wp:anchor behindDoc="0" distT="0" distB="0" distL="0" distR="0" simplePos="0" locked="0" layoutInCell="1" allowOverlap="1" relativeHeight="2">
                  <wp:simplePos x="0" y="0"/>
                  <wp:positionH relativeFrom="column">
                    <wp:posOffset>47625</wp:posOffset>
                  </wp:positionH>
                  <wp:positionV relativeFrom="paragraph">
                    <wp:posOffset>38100</wp:posOffset>
                  </wp:positionV>
                  <wp:extent cx="1767840" cy="533400"/>
                  <wp:effectExtent l="0" t="0" r="0" b="0"/>
                  <wp:wrapNone/>
                  <wp:docPr id="1" name="image1.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title=""/>
                          <pic:cNvPicPr>
                            <a:picLocks noChangeAspect="1" noChangeArrowheads="1"/>
                          </pic:cNvPicPr>
                        </pic:nvPicPr>
                        <pic:blipFill>
                          <a:blip r:embed="rId2"/>
                          <a:srcRect l="0" t="0" r="62221" b="0"/>
                          <a:stretch>
                            <a:fillRect/>
                          </a:stretch>
                        </pic:blipFill>
                        <pic:spPr bwMode="auto">
                          <a:xfrm>
                            <a:off x="0" y="0"/>
                            <a:ext cx="1767840" cy="533400"/>
                          </a:xfrm>
                          <a:prstGeom prst="rect">
                            <a:avLst/>
                          </a:prstGeom>
                          <a:noFill/>
                        </pic:spPr>
                      </pic:pic>
                    </a:graphicData>
                  </a:graphic>
                </wp:anchor>
              </w:drawing>
              <w:drawing>
                <wp:anchor behindDoc="0" distT="0" distB="0" distL="114300" distR="114300" simplePos="0" locked="0" layoutInCell="1" allowOverlap="1" relativeHeight="3">
                  <wp:simplePos x="0" y="0"/>
                  <wp:positionH relativeFrom="column">
                    <wp:posOffset>3190875</wp:posOffset>
                  </wp:positionH>
                  <wp:positionV relativeFrom="paragraph">
                    <wp:posOffset>38100</wp:posOffset>
                  </wp:positionV>
                  <wp:extent cx="577215" cy="530225"/>
                  <wp:effectExtent l="0" t="0" r="0" b="0"/>
                  <wp:wrapSquare wrapText="bothSides"/>
                  <wp:docPr id="2" name="image2.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title=""/>
                          <pic:cNvPicPr>
                            <a:picLocks noChangeAspect="1" noChangeArrowheads="1"/>
                          </pic:cNvPicPr>
                        </pic:nvPicPr>
                        <pic:blipFill>
                          <a:blip r:embed="rId3"/>
                          <a:stretch>
                            <a:fillRect/>
                          </a:stretch>
                        </pic:blipFill>
                        <pic:spPr bwMode="auto">
                          <a:xfrm>
                            <a:off x="0" y="0"/>
                            <a:ext cx="577215" cy="530225"/>
                          </a:xfrm>
                          <a:prstGeom prst="rect">
                            <a:avLst/>
                          </a:prstGeom>
                          <a:noFill/>
                        </pic:spPr>
                      </pic:pic>
                    </a:graphicData>
                  </a:graphic>
                </wp:anchor>
              </w:drawing>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           </w:t>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Universidad Nacional de Córdoba</w:t>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Facultad de Filosofía y Humanidades</w:t>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Escuela de Filosofía</w:t>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tc>
        <w:tc>
          <w:tcPr>
            <w:tcW w:w="4049" w:type="dxa"/>
            <w:tcBorders>
              <w:top w:val="single" w:sz="4" w:space="0" w:color="000000"/>
              <w:bottom w:val="single" w:sz="8" w:space="0" w:color="000000"/>
            </w:tcBorders>
          </w:tcPr>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Programa de Filosofía de la Ciencia</w:t>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 </w:t>
            </w:r>
            <w:r>
              <w:rPr>
                <w:rFonts w:eastAsia="IBM Plex Serif" w:cs="IBM Plex Serif" w:ascii="IBM Plex Serif" w:hAnsi="IBM Plex Serif"/>
                <w:position w:val="0"/>
                <w:sz w:val="22"/>
                <w:sz w:val="22"/>
                <w:szCs w:val="22"/>
                <w:vertAlign w:val="baseline"/>
              </w:rPr>
              <w:t>(Cod.)</w:t>
            </w:r>
            <w:r>
              <w:rPr>
                <w:rFonts w:eastAsia="IBM Plex Serif" w:cs="IBM Plex Serif" w:ascii="IBM Plex Serif" w:hAnsi="IBM Plex Serif"/>
              </w:rPr>
              <w:t xml:space="preserve"> </w:t>
            </w:r>
            <w:r>
              <w:rPr>
                <w:rFonts w:eastAsia="IBM Plex Serif" w:cs="IBM Plex Serif" w:ascii="IBM Plex Serif" w:hAnsi="IBM Plex Serif"/>
                <w:position w:val="0"/>
                <w:sz w:val="22"/>
                <w:sz w:val="22"/>
                <w:szCs w:val="22"/>
                <w:vertAlign w:val="baseline"/>
              </w:rPr>
              <w:t xml:space="preserve">017  </w:t>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center"/>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Año Lectivo:</w:t>
            </w:r>
          </w:p>
          <w:p>
            <w:pPr>
              <w:pStyle w:val="normal11"/>
              <w:spacing w:lineRule="auto" w:line="240" w:before="0" w:after="0"/>
              <w:jc w:val="center"/>
              <w:rPr>
                <w:rFonts w:ascii="IBM Plex Serif" w:hAnsi="IBM Plex Serif" w:eastAsia="IBM Plex Serif" w:cs="IBM Plex Serif"/>
                <w:color w:val="000000"/>
                <w:position w:val="0"/>
                <w:sz w:val="22"/>
                <w:sz w:val="22"/>
                <w:szCs w:val="22"/>
                <w:vertAlign w:val="baseline"/>
              </w:rPr>
            </w:pPr>
            <w:r>
              <w:rPr>
                <w:rFonts w:eastAsia="IBM Plex Serif" w:cs="IBM Plex Serif" w:ascii="IBM Plex Serif" w:hAnsi="IBM Plex Serif"/>
                <w:color w:val="000000"/>
                <w:position w:val="0"/>
                <w:sz w:val="22"/>
                <w:sz w:val="22"/>
                <w:szCs w:val="22"/>
                <w:vertAlign w:val="baseline"/>
              </w:rPr>
              <w:t>2025</w:t>
            </w:r>
          </w:p>
        </w:tc>
      </w:tr>
      <w:tr>
        <w:trPr/>
        <w:tc>
          <w:tcPr>
            <w:tcW w:w="6119" w:type="dxa"/>
            <w:tcBorders>
              <w:top w:val="single" w:sz="8" w:space="0" w:color="000000"/>
              <w:bottom w:val="single" w:sz="8" w:space="0" w:color="000000"/>
            </w:tcBorders>
          </w:tcPr>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Carreras: Licenciatura y Profesorado en Filosofía</w:t>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Escuela: Escuela de Filosofía</w:t>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Planes: </w:t>
            </w:r>
            <w:r>
              <w:rPr>
                <w:rFonts w:eastAsia="IBM Plex Serif" w:cs="IBM Plex Serif" w:ascii="IBM Plex Serif" w:hAnsi="IBM Plex Serif"/>
                <w:color w:val="000000"/>
                <w:position w:val="0"/>
                <w:sz w:val="22"/>
                <w:sz w:val="22"/>
                <w:szCs w:val="22"/>
                <w:vertAlign w:val="baseline"/>
              </w:rPr>
              <w:t>1986 (Licenciatura), 2005 (profesorado)</w:t>
            </w:r>
          </w:p>
        </w:tc>
        <w:tc>
          <w:tcPr>
            <w:tcW w:w="4049" w:type="dxa"/>
            <w:tcBorders>
              <w:top w:val="single" w:sz="8" w:space="0" w:color="000000"/>
              <w:bottom w:val="single" w:sz="8" w:space="0" w:color="000000"/>
            </w:tcBorders>
          </w:tcPr>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Semestre: Primero</w:t>
            </w:r>
          </w:p>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Carga Horaria: 120 horas</w:t>
            </w:r>
          </w:p>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Hs. Semanales: 6</w:t>
            </w:r>
          </w:p>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ind w:hanging="0" w:start="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Ubicación en la Currícula: Currícula básica, 2do año</w:t>
            </w:r>
          </w:p>
          <w:p>
            <w:pPr>
              <w:pStyle w:val="normal11"/>
              <w:spacing w:lineRule="auto" w:line="240" w:before="0" w:after="0"/>
              <w:ind w:hanging="0" w:start="-108"/>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tc>
      </w:tr>
      <w:tr>
        <w:trPr/>
        <w:tc>
          <w:tcPr>
            <w:tcW w:w="10168" w:type="dxa"/>
            <w:gridSpan w:val="2"/>
            <w:tcBorders>
              <w:top w:val="single" w:sz="8" w:space="0" w:color="000000"/>
              <w:bottom w:val="single" w:sz="4" w:space="0" w:color="000000"/>
            </w:tcBorders>
          </w:tcPr>
          <w:p>
            <w:pPr>
              <w:pStyle w:val="normal11"/>
              <w:spacing w:lineRule="auto" w:line="240" w:before="0" w:after="0"/>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b/>
                <w:position w:val="0"/>
                <w:sz w:val="22"/>
                <w:sz w:val="22"/>
                <w:szCs w:val="22"/>
                <w:vertAlign w:val="baseline"/>
              </w:rPr>
              <w:t xml:space="preserve">Equipo de Profesores: </w:t>
            </w:r>
          </w:p>
          <w:p>
            <w:pPr>
              <w:pStyle w:val="normal11"/>
              <w:spacing w:lineRule="auto" w:line="240" w:before="0" w:after="0"/>
              <w:jc w:val="both"/>
              <w:rPr>
                <w:rFonts w:ascii="IBM Plex Serif" w:hAnsi="IBM Plex Serif" w:eastAsia="IBM Plex Serif" w:cs="IBM Plex Serif"/>
              </w:rPr>
            </w:pPr>
            <w:r>
              <w:rPr>
                <w:rFonts w:eastAsia="IBM Plex Serif" w:cs="IBM Plex Serif" w:ascii="IBM Plex Serif" w:hAnsi="IBM Plex Serif"/>
              </w:rPr>
              <w:t>Dr. Pío García (Profesor Titular, carga anexa)</w:t>
            </w:r>
          </w:p>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Dr. Hernán Severgnini (Profesor </w:t>
            </w:r>
            <w:r>
              <w:rPr>
                <w:rFonts w:eastAsia="IBM Plex Serif" w:cs="IBM Plex Serif" w:ascii="IBM Plex Serif" w:hAnsi="IBM Plex Serif"/>
              </w:rPr>
              <w:t>Adjunto</w:t>
            </w:r>
            <w:r>
              <w:rPr>
                <w:rFonts w:eastAsia="IBM Plex Serif" w:cs="IBM Plex Serif" w:ascii="IBM Plex Serif" w:hAnsi="IBM Plex Serif"/>
                <w:position w:val="0"/>
                <w:sz w:val="22"/>
                <w:sz w:val="22"/>
                <w:szCs w:val="22"/>
                <w:vertAlign w:val="baseline"/>
              </w:rPr>
              <w:t xml:space="preserve">, carga anexa) </w:t>
            </w:r>
          </w:p>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Dr. </w:t>
            </w:r>
            <w:r>
              <w:rPr>
                <w:rFonts w:eastAsia="IBM Plex Serif" w:cs="IBM Plex Serif" w:ascii="IBM Plex Serif" w:hAnsi="IBM Plex Serif"/>
              </w:rPr>
              <w:t>Andrés Ilcic</w:t>
            </w:r>
            <w:r>
              <w:rPr>
                <w:rFonts w:eastAsia="IBM Plex Serif" w:cs="IBM Plex Serif" w:ascii="IBM Plex Serif" w:hAnsi="IBM Plex Serif"/>
                <w:position w:val="0"/>
                <w:sz w:val="22"/>
                <w:sz w:val="22"/>
                <w:szCs w:val="22"/>
                <w:vertAlign w:val="baseline"/>
              </w:rPr>
              <w:t xml:space="preserve"> (Profesor Asistente, dedicación semi-exclusiva)</w:t>
            </w:r>
          </w:p>
          <w:p>
            <w:pPr>
              <w:pStyle w:val="normal11"/>
              <w:spacing w:lineRule="auto" w:line="240" w:before="0" w:after="0"/>
              <w:jc w:val="both"/>
              <w:rPr>
                <w:rFonts w:ascii="IBM Plex Serif" w:hAnsi="IBM Plex Serif" w:eastAsia="IBM Plex Serif" w:cs="IBM Plex Serif"/>
              </w:rPr>
            </w:pPr>
            <w:r>
              <w:rPr>
                <w:rFonts w:eastAsia="IBM Plex Serif" w:cs="IBM Plex Serif" w:ascii="IBM Plex Serif" w:hAnsi="IBM Plex Serif"/>
              </w:rPr>
              <w:t>Dra Penélope Lodeyro (Profesora Asistente, dedicación semi-exclusiva)</w:t>
            </w:r>
          </w:p>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b/>
                <w:position w:val="0"/>
                <w:sz w:val="22"/>
                <w:sz w:val="22"/>
                <w:szCs w:val="22"/>
                <w:vertAlign w:val="baseline"/>
              </w:rPr>
              <w:t xml:space="preserve">Ayudantes Alumnxs: </w:t>
            </w:r>
          </w:p>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rPr>
              <w:t>J</w:t>
            </w:r>
            <w:r>
              <w:rPr>
                <w:rFonts w:eastAsia="IBM Plex Serif" w:cs="IBM Plex Serif" w:ascii="IBM Plex Serif" w:hAnsi="IBM Plex Serif"/>
                <w:position w:val="0"/>
                <w:sz w:val="22"/>
                <w:sz w:val="22"/>
                <w:szCs w:val="22"/>
                <w:vertAlign w:val="baseline"/>
              </w:rPr>
              <w:t xml:space="preserve">uan Mateo Rocha, Martiniano Lama, Paulina Abaca, Bárbara Páez Sueldo, </w:t>
            </w:r>
            <w:r>
              <w:rPr>
                <w:rFonts w:eastAsia="IBM Plex Serif" w:cs="IBM Plex Serif" w:ascii="IBM Plex Serif" w:hAnsi="IBM Plex Serif"/>
              </w:rPr>
              <w:t>Ezequiel Diani Wilke, Selena Ortiz.</w:t>
            </w:r>
          </w:p>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both"/>
              <w:rPr>
                <w:rFonts w:ascii="IBM Plex Serif" w:hAnsi="IBM Plex Serif" w:eastAsia="IBM Plex Serif" w:cs="IBM Plex Serif"/>
                <w:b/>
              </w:rPr>
            </w:pPr>
            <w:r>
              <w:rPr>
                <w:rFonts w:eastAsia="IBM Plex Serif" w:cs="IBM Plex Serif" w:ascii="IBM Plex Serif" w:hAnsi="IBM Plex Serif"/>
                <w:b/>
                <w:position w:val="0"/>
                <w:sz w:val="22"/>
                <w:sz w:val="22"/>
                <w:szCs w:val="22"/>
                <w:vertAlign w:val="baseline"/>
              </w:rPr>
              <w:t>Adscriptxs:</w:t>
            </w:r>
          </w:p>
          <w:p>
            <w:pPr>
              <w:pStyle w:val="normal11"/>
              <w:spacing w:lineRule="auto" w:line="240" w:before="0" w:after="0"/>
              <w:jc w:val="both"/>
              <w:rPr>
                <w:rFonts w:ascii="IBM Plex Serif" w:hAnsi="IBM Plex Serif" w:eastAsia="IBM Plex Serif" w:cs="IBM Plex Serif"/>
              </w:rPr>
            </w:pPr>
            <w:r>
              <w:rPr>
                <w:rFonts w:eastAsia="IBM Plex Serif" w:cs="IBM Plex Serif" w:ascii="IBM Plex Serif" w:hAnsi="IBM Plex Serif"/>
              </w:rPr>
              <w:t xml:space="preserve">Dra. </w:t>
            </w:r>
            <w:r>
              <w:rPr>
                <w:rFonts w:eastAsia="IBM Plex Serif" w:cs="IBM Plex Serif" w:ascii="IBM Plex Serif" w:hAnsi="IBM Plex Serif"/>
                <w:position w:val="0"/>
                <w:sz w:val="22"/>
                <w:sz w:val="22"/>
                <w:szCs w:val="22"/>
                <w:vertAlign w:val="baseline"/>
              </w:rPr>
              <w:t>Sofía Mondac</w:t>
            </w:r>
            <w:r>
              <w:rPr>
                <w:rFonts w:eastAsia="IBM Plex Serif" w:cs="IBM Plex Serif" w:ascii="IBM Plex Serif" w:hAnsi="IBM Plex Serif"/>
              </w:rPr>
              <w:t>a, Lic. Ignacio Heredia.</w:t>
            </w:r>
          </w:p>
          <w:p>
            <w:pPr>
              <w:pStyle w:val="normal11"/>
              <w:spacing w:lineRule="auto" w:line="24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tc>
      </w:tr>
      <w:tr>
        <w:trPr/>
        <w:tc>
          <w:tcPr>
            <w:tcW w:w="10168" w:type="dxa"/>
            <w:gridSpan w:val="2"/>
            <w:tcBorders>
              <w:top w:val="single" w:sz="4" w:space="0" w:color="000000"/>
              <w:bottom w:val="single" w:sz="4" w:space="0" w:color="000000"/>
            </w:tcBorders>
          </w:tcPr>
          <w:p>
            <w:pPr>
              <w:pStyle w:val="normal11"/>
              <w:spacing w:lineRule="auto" w:line="240" w:before="0" w:after="0"/>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b/>
                <w:position w:val="0"/>
                <w:sz w:val="22"/>
                <w:sz w:val="22"/>
                <w:szCs w:val="22"/>
                <w:vertAlign w:val="baseline"/>
              </w:rPr>
              <w:t>Fundamentación</w:t>
            </w:r>
          </w:p>
          <w:p>
            <w:pPr>
              <w:pStyle w:val="normal11"/>
              <w:spacing w:lineRule="auto" w:line="276"/>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El programa responde a los contenidos mínimos del actual Plan de Estudios de la Licenciatura en Filosofía y del Profesorado en Filosofía. En tal sentido, se ha incluido un conjunto de tópicos clásicos de filosofía general de la ciencia, adaptados al nivel de un curso del segundo año de la carrera de Filosofía. El tratamiento de los mismos presupone, en muchos casos, familiaridad con las materias del primer año de la carrera y el consecuente manejo de cierta terminología filosófica básica.</w:t>
            </w:r>
          </w:p>
          <w:p>
            <w:pPr>
              <w:pStyle w:val="normal11"/>
              <w:spacing w:lineRule="auto" w:line="276"/>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Se pretende introducir al alumno en la problemática básica de esta asignatura, atendiendo al hecho de que se trata de estudiantes de filosofía. Se han seleccionado un conjunto de tópicos que permitan tener una formación mínima general sobre la disciplina a lxs alumnxs, tanto del Profesorado como de la Licenciatura, que no tengan otra epistemología en su plan de estudios. A su vez, Filosofía de la Ciencia es la materia troncal de la línea básica para el ingreso al Área Lógico-Epistemológica</w:t>
            </w:r>
            <w:r>
              <w:rPr>
                <w:rFonts w:eastAsia="IBM Plex Serif" w:cs="IBM Plex Serif" w:ascii="IBM Plex Serif" w:hAnsi="IBM Plex Serif"/>
              </w:rPr>
              <w:t xml:space="preserve">, </w:t>
            </w:r>
            <w:r>
              <w:rPr>
                <w:rFonts w:eastAsia="IBM Plex Serif" w:cs="IBM Plex Serif" w:ascii="IBM Plex Serif" w:hAnsi="IBM Plex Serif"/>
                <w:position w:val="0"/>
                <w:sz w:val="22"/>
                <w:sz w:val="22"/>
                <w:szCs w:val="22"/>
                <w:vertAlign w:val="baseline"/>
              </w:rPr>
              <w:t>por lo que se pretende dar la formación básica necesaria para el cursado del Área.</w:t>
            </w:r>
          </w:p>
          <w:p>
            <w:pPr>
              <w:pStyle w:val="normal11"/>
              <w:spacing w:lineRule="auto" w:line="276"/>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Este programa de Filosofía de la Ciencia privilegia un enfoque problemático sobre un enfoque histórico de la disciplina. Por esta razón, recién en la unidad 3, luego de un acercamiento a problemas clásicos, el foco vira a las respuestas a esos problemas desde una perspectiva sensible al desarrollo histórico de la disciplina.</w:t>
            </w:r>
          </w:p>
          <w:p>
            <w:pPr>
              <w:pStyle w:val="normal11"/>
              <w:spacing w:lineRule="auto" w:line="276" w:before="0" w:after="20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La modalidad de dictado dividirá la bibliografía entre aquella que ofrece principalmente un desarrollo conceptual de los temas y aquella que principalmente realiza una aplicación de los desarrollos conceptuales a casos particulares de historia de la ciencia.</w:t>
            </w:r>
          </w:p>
        </w:tc>
      </w:tr>
      <w:tr>
        <w:trPr/>
        <w:tc>
          <w:tcPr>
            <w:tcW w:w="10168" w:type="dxa"/>
            <w:gridSpan w:val="2"/>
            <w:tcBorders>
              <w:top w:val="single" w:sz="4" w:space="0" w:color="000000"/>
              <w:bottom w:val="single" w:sz="4" w:space="0" w:color="000000"/>
            </w:tcBorders>
          </w:tcPr>
          <w:p>
            <w:pPr>
              <w:pStyle w:val="Heading3"/>
              <w:spacing w:lineRule="auto" w:line="240" w:before="0" w:after="0"/>
              <w:jc w:val="both"/>
              <w:rPr>
                <w:rFonts w:ascii="IBM Plex Serif" w:hAnsi="IBM Plex Serif" w:eastAsia="IBM Plex Serif" w:cs="IBM Plex Serif"/>
              </w:rPr>
            </w:pPr>
            <w:bookmarkStart w:id="0" w:name="_heading=h.3l8yrapqvl97"/>
            <w:bookmarkEnd w:id="0"/>
            <w:r>
              <w:rPr>
                <w:rFonts w:eastAsia="IBM Plex Serif Medium" w:cs="IBM Plex Serif Medium" w:ascii="IBM Plex Serif Medium" w:hAnsi="IBM Plex Serif Medium"/>
                <w:b w:val="false"/>
              </w:rPr>
              <w:t>Ejes Temáticos</w:t>
            </w:r>
          </w:p>
        </w:tc>
      </w:tr>
      <w:tr>
        <w:trPr/>
        <w:tc>
          <w:tcPr>
            <w:tcW w:w="10168" w:type="dxa"/>
            <w:gridSpan w:val="2"/>
            <w:tcBorders>
              <w:top w:val="single" w:sz="4" w:space="0" w:color="000000"/>
              <w:bottom w:val="single" w:sz="4" w:space="0" w:color="000000"/>
            </w:tcBorders>
          </w:tcPr>
          <w:p>
            <w:pPr>
              <w:pStyle w:val="normal11"/>
              <w:widowControl w:val="false"/>
              <w:spacing w:lineRule="auto" w:line="276" w:before="0" w:after="0"/>
              <w:jc w:val="both"/>
              <w:rPr>
                <w:rFonts w:ascii="IBM Plex Serif" w:hAnsi="IBM Plex Serif" w:eastAsia="IBM Plex Serif" w:cs="IBM Plex Serif"/>
                <w:b/>
                <w:position w:val="0"/>
                <w:sz w:val="24"/>
                <w:sz w:val="24"/>
                <w:szCs w:val="24"/>
                <w:vertAlign w:val="baseline"/>
              </w:rPr>
            </w:pPr>
            <w:r>
              <w:rPr>
                <w:rFonts w:eastAsia="IBM Plex Serif" w:cs="IBM Plex Serif" w:ascii="IBM Plex Serif" w:hAnsi="IBM Plex Serif"/>
                <w:b/>
                <w:position w:val="0"/>
                <w:sz w:val="24"/>
                <w:sz w:val="24"/>
                <w:szCs w:val="24"/>
                <w:vertAlign w:val="baseline"/>
              </w:rPr>
              <w:t>Unidad 1:</w:t>
            </w:r>
          </w:p>
          <w:p>
            <w:pPr>
              <w:pStyle w:val="normal11"/>
              <w:widowControl w:val="false"/>
              <w:spacing w:lineRule="auto" w:line="276" w:before="0" w:after="0"/>
              <w:ind w:end="100"/>
              <w:jc w:val="both"/>
              <w:rPr>
                <w:rFonts w:ascii="IBM Plex Serif" w:hAnsi="IBM Plex Serif" w:eastAsia="IBM Plex Serif" w:cs="IBM Plex Serif"/>
              </w:rPr>
            </w:pPr>
            <w:r>
              <w:rPr>
                <w:rFonts w:eastAsia="IBM Plex Serif" w:cs="IBM Plex Serif" w:ascii="IBM Plex Serif" w:hAnsi="IBM Plex Serif"/>
                <w:position w:val="0"/>
                <w:sz w:val="22"/>
                <w:sz w:val="22"/>
                <w:szCs w:val="22"/>
                <w:vertAlign w:val="baseline"/>
              </w:rPr>
              <w:t>Introducción a la Filosofía de la Ciencia. Conceptos científicos, leyes, teorías, modelos. Reduccionismo. Generación y contrastación de hipótesis. Método hipotético-deductivo, falsacionismo, demarcación. Inducción, confirmación. Explicación, causación, predicción.</w:t>
            </w:r>
          </w:p>
          <w:p>
            <w:pPr>
              <w:pStyle w:val="normal11"/>
              <w:widowControl w:val="false"/>
              <w:spacing w:lineRule="auto" w:line="276" w:before="0" w:after="0"/>
              <w:ind w:end="100"/>
              <w:jc w:val="both"/>
              <w:rPr>
                <w:rFonts w:ascii="IBM Plex Serif" w:hAnsi="IBM Plex Serif" w:eastAsia="IBM Plex Serif" w:cs="IBM Plex Serif"/>
                <w:sz w:val="16"/>
                <w:szCs w:val="16"/>
              </w:rPr>
            </w:pPr>
            <w:r>
              <w:rPr>
                <w:rFonts w:eastAsia="IBM Plex Serif" w:cs="IBM Plex Serif" w:ascii="IBM Plex Serif" w:hAnsi="IBM Plex Serif"/>
                <w:sz w:val="16"/>
                <w:szCs w:val="16"/>
              </w:rPr>
            </w:r>
          </w:p>
          <w:p>
            <w:pPr>
              <w:pStyle w:val="normal11"/>
              <w:widowControl w:val="false"/>
              <w:spacing w:lineRule="auto" w:line="276" w:before="0" w:after="0"/>
              <w:ind w:end="100"/>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b/>
                <w:position w:val="0"/>
                <w:sz w:val="22"/>
                <w:sz w:val="22"/>
                <w:szCs w:val="22"/>
                <w:vertAlign w:val="baseline"/>
              </w:rPr>
              <w:t>Bibliografía desarrollo conceptual</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Popper, K. (1998). Introducción de 1978. En </w:t>
            </w:r>
            <w:r>
              <w:rPr>
                <w:rFonts w:eastAsia="IBM Plex Serif" w:cs="IBM Plex Serif" w:ascii="IBM Plex Serif" w:hAnsi="IBM Plex Serif"/>
                <w:i/>
              </w:rPr>
              <w:t>Los dos problemas fundamentales de la epistemología</w:t>
            </w:r>
            <w:r>
              <w:rPr>
                <w:rFonts w:eastAsia="IBM Plex Serif" w:cs="IBM Plex Serif" w:ascii="IBM Plex Serif" w:hAnsi="IBM Plex Serif"/>
              </w:rPr>
              <w:t>. Tecnos. (Obra original publicada en 1978)</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Popper, K. (1962). El problema de la inducción. En </w:t>
            </w:r>
            <w:r>
              <w:rPr>
                <w:rFonts w:eastAsia="IBM Plex Serif" w:cs="IBM Plex Serif" w:ascii="IBM Plex Serif" w:hAnsi="IBM Plex Serif"/>
                <w:i/>
              </w:rPr>
              <w:t>La lógica de la investigación científica</w:t>
            </w:r>
            <w:r>
              <w:rPr>
                <w:rFonts w:eastAsia="IBM Plex Serif" w:cs="IBM Plex Serif" w:ascii="IBM Plex Serif" w:hAnsi="IBM Plex Serif"/>
              </w:rPr>
              <w:t>. Tecnos. (Obra original publicada en 1934)</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Duhem, P. (2003). Un experimento de física nunca puede condenar una hipótesis aislada, sino todo un conjunto teórico. En </w:t>
            </w:r>
            <w:r>
              <w:rPr>
                <w:rFonts w:eastAsia="IBM Plex Serif" w:cs="IBM Plex Serif" w:ascii="IBM Plex Serif" w:hAnsi="IBM Plex Serif"/>
                <w:i/>
              </w:rPr>
              <w:t>La teoría física: Su objeto y su estructura</w:t>
            </w:r>
            <w:r>
              <w:rPr>
                <w:rFonts w:eastAsia="IBM Plex Serif" w:cs="IBM Plex Serif" w:ascii="IBM Plex Serif" w:hAnsi="IBM Plex Serif"/>
              </w:rPr>
              <w:t xml:space="preserve"> (pp. 241–250). Herder. (Obra original publicada en 1906)</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Díez, J. A., &amp; Moulines, C. U. (1997). Contrastación de hipótesis. En </w:t>
            </w:r>
            <w:r>
              <w:rPr>
                <w:rFonts w:eastAsia="IBM Plex Serif" w:cs="IBM Plex Serif" w:ascii="IBM Plex Serif" w:hAnsi="IBM Plex Serif"/>
                <w:i/>
              </w:rPr>
              <w:t>Fundamentos de filosofía de la ciencia</w:t>
            </w:r>
            <w:r>
              <w:rPr>
                <w:rFonts w:eastAsia="IBM Plex Serif" w:cs="IBM Plex Serif" w:ascii="IBM Plex Serif" w:hAnsi="IBM Plex Serif"/>
              </w:rPr>
              <w:t xml:space="preserve"> (pp. 61–90, cap. 3). Ariel.</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Díez, J. A., &amp; Moulines, C. U. (1997). La explicación científica. En </w:t>
            </w:r>
            <w:r>
              <w:rPr>
                <w:rFonts w:eastAsia="IBM Plex Serif" w:cs="IBM Plex Serif" w:ascii="IBM Plex Serif" w:hAnsi="IBM Plex Serif"/>
                <w:i/>
              </w:rPr>
              <w:t>Fundamentos de filosofía de la ciencia</w:t>
            </w:r>
            <w:r>
              <w:rPr>
                <w:rFonts w:eastAsia="IBM Plex Serif" w:cs="IBM Plex Serif" w:ascii="IBM Plex Serif" w:hAnsi="IBM Plex Serif"/>
              </w:rPr>
              <w:t xml:space="preserve"> (pp. 219–266, cap. 7). Ariel.</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Salmon, W. (1999). Explicación científica [traducción para la cátedra]. En M. H. Salmon, J. Earman, C. Glymour, &amp; J. Lennox (Eds.), </w:t>
            </w:r>
            <w:r>
              <w:rPr>
                <w:rFonts w:eastAsia="IBM Plex Serif" w:cs="IBM Plex Serif" w:ascii="IBM Plex Serif" w:hAnsi="IBM Plex Serif"/>
                <w:i/>
              </w:rPr>
              <w:t>Introduction to the philosophy of science</w:t>
            </w:r>
            <w:r>
              <w:rPr>
                <w:rFonts w:eastAsia="IBM Plex Serif" w:cs="IBM Plex Serif" w:ascii="IBM Plex Serif" w:hAnsi="IBM Plex Serif"/>
              </w:rPr>
              <w:t xml:space="preserve"> (pp. 7–41). Prentice-Hall. (Obra original publicada en 1992)</w:t>
            </w:r>
          </w:p>
          <w:p>
            <w:pPr>
              <w:pStyle w:val="normal11"/>
              <w:spacing w:lineRule="auto" w:line="240"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Mayr, E. (1998). Los múltiples significados de “teleológico”. En A. Barahona &amp; S. Martínez (Eds.), </w:t>
            </w:r>
            <w:r>
              <w:rPr>
                <w:rFonts w:eastAsia="IBM Plex Serif" w:cs="IBM Plex Serif" w:ascii="IBM Plex Serif" w:hAnsi="IBM Plex Serif"/>
                <w:i/>
              </w:rPr>
              <w:t>Historia y explicación en biología</w:t>
            </w:r>
            <w:r>
              <w:rPr>
                <w:rFonts w:eastAsia="IBM Plex Serif" w:cs="IBM Plex Serif" w:ascii="IBM Plex Serif" w:hAnsi="IBM Plex Serif"/>
              </w:rPr>
              <w:t xml:space="preserve"> (pp. 431–461). Fondo de Cultura Económica.</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b/>
              </w:rPr>
            </w:pPr>
            <w:r>
              <w:rPr>
                <w:rFonts w:eastAsia="IBM Plex Serif" w:cs="IBM Plex Serif" w:ascii="IBM Plex Serif" w:hAnsi="IBM Plex Serif"/>
                <w:b/>
              </w:rPr>
              <w:t>Bibliografía de aplicación a casos históricos</w:t>
            </w:r>
          </w:p>
          <w:p>
            <w:pPr>
              <w:pStyle w:val="normal11"/>
              <w:spacing w:lineRule="auto" w:line="276"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Kuhn, T. S. (1987). Las relaciones entre la historia y la filosofía de la ciencia. En R. Helier (Trad.), </w:t>
            </w:r>
            <w:r>
              <w:rPr>
                <w:rFonts w:eastAsia="IBM Plex Serif" w:cs="IBM Plex Serif" w:ascii="IBM Plex Serif" w:hAnsi="IBM Plex Serif"/>
                <w:i/>
              </w:rPr>
              <w:t>La tensión esencial: Estudios selectos sobre la tradición y el cambio en el ámbito de la ciencia</w:t>
            </w:r>
            <w:r>
              <w:rPr>
                <w:rFonts w:eastAsia="IBM Plex Serif" w:cs="IBM Plex Serif" w:ascii="IBM Plex Serif" w:hAnsi="IBM Plex Serif"/>
              </w:rPr>
              <w:t xml:space="preserve"> (pp. 27–45). Fondo de Cultura Económica. (Obra original publicada en 1977)</w:t>
            </w:r>
          </w:p>
          <w:p>
            <w:pPr>
              <w:pStyle w:val="normal11"/>
              <w:spacing w:lineRule="auto" w:line="276"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Losee, J. (1981). El inductivismo frente a la visión hipotético-deductiva de la ciencia. En A. Montesinos (Trad.), </w:t>
            </w:r>
            <w:r>
              <w:rPr>
                <w:rFonts w:eastAsia="IBM Plex Serif" w:cs="IBM Plex Serif" w:ascii="IBM Plex Serif" w:hAnsi="IBM Plex Serif"/>
                <w:i/>
              </w:rPr>
              <w:t>Introducción histórica a la filosofía de la ciencia</w:t>
            </w:r>
            <w:r>
              <w:rPr>
                <w:rFonts w:eastAsia="IBM Plex Serif" w:cs="IBM Plex Serif" w:ascii="IBM Plex Serif" w:hAnsi="IBM Plex Serif"/>
              </w:rPr>
              <w:t xml:space="preserve"> (pp. 155–167, cap. 10). Alianza. (Obra original publicada en 1972)</w:t>
            </w:r>
          </w:p>
          <w:p>
            <w:pPr>
              <w:pStyle w:val="normal11"/>
              <w:spacing w:lineRule="auto" w:line="276"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Martínez, S. (1997). La explicación en biología: Historia y narrativa. En </w:t>
            </w:r>
            <w:r>
              <w:rPr>
                <w:rFonts w:eastAsia="IBM Plex Serif" w:cs="IBM Plex Serif" w:ascii="IBM Plex Serif" w:hAnsi="IBM Plex Serif"/>
                <w:i/>
              </w:rPr>
              <w:t>De los efectos a las causas: Sobre la historia de los patrones de explicación científica</w:t>
            </w:r>
            <w:r>
              <w:rPr>
                <w:rFonts w:eastAsia="IBM Plex Serif" w:cs="IBM Plex Serif" w:ascii="IBM Plex Serif" w:hAnsi="IBM Plex Serif"/>
              </w:rPr>
              <w:t xml:space="preserve"> (pp. 154–158, cap. 8). Paidós.</w:t>
            </w:r>
          </w:p>
          <w:p>
            <w:pPr>
              <w:pStyle w:val="normal11"/>
              <w:spacing w:lineRule="auto" w:line="276"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Taylor, C. (2005). Comprensión y etnocentrismo. En H. Pons (Trad.), </w:t>
            </w:r>
            <w:r>
              <w:rPr>
                <w:rFonts w:eastAsia="IBM Plex Serif" w:cs="IBM Plex Serif" w:ascii="IBM Plex Serif" w:hAnsi="IBM Plex Serif"/>
                <w:i/>
              </w:rPr>
              <w:t>La libertad de los modernos</w:t>
            </w:r>
            <w:r>
              <w:rPr>
                <w:rFonts w:eastAsia="IBM Plex Serif" w:cs="IBM Plex Serif" w:ascii="IBM Plex Serif" w:hAnsi="IBM Plex Serif"/>
              </w:rPr>
              <w:t xml:space="preserve"> (pp. 199–222, cap. 6). Amorrortu. (Obra original publicada en 1983)</w:t>
            </w:r>
          </w:p>
          <w:p>
            <w:pPr>
              <w:pStyle w:val="normal11"/>
              <w:widowControl w:val="false"/>
              <w:spacing w:lineRule="auto" w:line="360" w:before="0" w:after="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widowControl w:val="false"/>
              <w:spacing w:lineRule="auto" w:line="360" w:before="0" w:after="0"/>
              <w:rPr>
                <w:rFonts w:ascii="IBM Plex Serif" w:hAnsi="IBM Plex Serif" w:eastAsia="IBM Plex Serif" w:cs="IBM Plex Serif"/>
                <w:position w:val="0"/>
                <w:sz w:val="22"/>
                <w:sz w:val="22"/>
                <w:szCs w:val="22"/>
                <w:u w:val="single"/>
                <w:vertAlign w:val="baseline"/>
              </w:rPr>
            </w:pPr>
            <w:r>
              <w:rPr>
                <w:rFonts w:eastAsia="IBM Plex Serif" w:cs="IBM Plex Serif" w:ascii="IBM Plex Serif" w:hAnsi="IBM Plex Serif"/>
                <w:b/>
                <w:sz w:val="24"/>
                <w:szCs w:val="24"/>
              </w:rPr>
              <w:t>Unidad 2:</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b/>
              </w:rPr>
              <w:t xml:space="preserve">Temas: </w:t>
            </w:r>
            <w:r>
              <w:rPr>
                <w:rFonts w:eastAsia="IBM Plex Serif" w:cs="IBM Plex Serif" w:ascii="IBM Plex Serif" w:hAnsi="IBM Plex Serif"/>
              </w:rPr>
              <w:t>Base empírica, el concepto de dato. Observación. Representación e intervención. Experimentación. El problema de la infradeterminación de las teorías. Probabilidad, azar, determinismo. Realismo, antirealismo, instrumentalismo.</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sz w:val="16"/>
                <w:szCs w:val="16"/>
              </w:rPr>
            </w:pPr>
            <w:r>
              <w:rPr>
                <w:rFonts w:eastAsia="IBM Plex Serif" w:cs="IBM Plex Serif" w:ascii="IBM Plex Serif" w:hAnsi="IBM Plex Serif"/>
                <w:sz w:val="16"/>
                <w:szCs w:val="16"/>
              </w:rPr>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b/>
              </w:rPr>
            </w:pPr>
            <w:r>
              <w:rPr>
                <w:rFonts w:eastAsia="IBM Plex Serif" w:cs="IBM Plex Serif" w:ascii="IBM Plex Serif" w:hAnsi="IBM Plex Serif"/>
                <w:b/>
              </w:rPr>
              <w:t>Bibliografía desarrollo conceptual</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rPr>
              <w:t xml:space="preserve">Hacking, I. (1999). La autojustificación de las ciencias de laboratorio. En A. Alvarez Ambrogi (Ed.), </w:t>
            </w:r>
            <w:r>
              <w:rPr>
                <w:rFonts w:eastAsia="IBM Plex Serif" w:cs="IBM Plex Serif" w:ascii="IBM Plex Serif" w:hAnsi="IBM Plex Serif"/>
                <w:i/>
              </w:rPr>
              <w:t xml:space="preserve">Filosofía de la ciencia: El giro </w:t>
            </w:r>
            <w:r>
              <w:rPr>
                <w:rFonts w:eastAsia="IBM Plex Serif" w:cs="IBM Plex Serif" w:ascii="IBM Plex Serif" w:hAnsi="IBM Plex Serif"/>
              </w:rPr>
              <w:t>naturalista (pp. 213–250). Universidad de les Illes Balears. (Obra original publicada en 1992)</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b/>
              </w:rPr>
            </w:pPr>
            <w:r>
              <w:rPr>
                <w:rFonts w:eastAsia="IBM Plex Serif" w:cs="IBM Plex Serif" w:ascii="IBM Plex Serif" w:hAnsi="IBM Plex Serif"/>
                <w:b/>
              </w:rPr>
              <w:t>Bibliografía de aplicación a casos históricos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Losee, J. (1981). El debate sobre salvar las apariencias. En A. Montesinos (Trad.), </w:t>
            </w:r>
            <w:r>
              <w:rPr>
                <w:rFonts w:eastAsia="IBM Plex Serif" w:cs="IBM Plex Serif" w:ascii="IBM Plex Serif" w:hAnsi="IBM Plex Serif"/>
                <w:i/>
              </w:rPr>
              <w:t>Introducción histórica a la filosofía de la ciencia</w:t>
            </w:r>
            <w:r>
              <w:rPr>
                <w:rFonts w:eastAsia="IBM Plex Serif" w:cs="IBM Plex Serif" w:ascii="IBM Plex Serif" w:hAnsi="IBM Plex Serif"/>
              </w:rPr>
              <w:t xml:space="preserve"> (pp. 53–60, cap. 2). Alianza. (Obra original publicada en 1972)</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Losee, J. (1981). La orientación pitagórica. En A. Montesinos (Trad.), </w:t>
            </w:r>
            <w:r>
              <w:rPr>
                <w:rFonts w:eastAsia="IBM Plex Serif" w:cs="IBM Plex Serif" w:ascii="IBM Plex Serif" w:hAnsi="IBM Plex Serif"/>
                <w:i/>
              </w:rPr>
              <w:t>Introducción histórica a la filosofía de la ciencia</w:t>
            </w:r>
            <w:r>
              <w:rPr>
                <w:rFonts w:eastAsia="IBM Plex Serif" w:cs="IBM Plex Serif" w:ascii="IBM Plex Serif" w:hAnsi="IBM Plex Serif"/>
              </w:rPr>
              <w:t xml:space="preserve"> (pp. 26–36, cap. 2). Alianza. (Obra original publicada en 1972)</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Hacking, I. (1996a). El experimento. En S. F. Martínez (Trad.), </w:t>
            </w:r>
            <w:r>
              <w:rPr>
                <w:rFonts w:eastAsia="IBM Plex Serif" w:cs="IBM Plex Serif" w:ascii="IBM Plex Serif" w:hAnsi="IBM Plex Serif"/>
                <w:i/>
              </w:rPr>
              <w:t>Representar e intervenir</w:t>
            </w:r>
            <w:r>
              <w:rPr>
                <w:rFonts w:eastAsia="IBM Plex Serif" w:cs="IBM Plex Serif" w:ascii="IBM Plex Serif" w:hAnsi="IBM Plex Serif"/>
              </w:rPr>
              <w:t xml:space="preserve"> (pp. 177–196, cap. 9). Paidós Mexicana. (Obra original publicada en 1983)</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Hacking, I. (1996b). La observación. En S. F. Martínez (Trad.), </w:t>
            </w:r>
            <w:r>
              <w:rPr>
                <w:rFonts w:eastAsia="IBM Plex Serif" w:cs="IBM Plex Serif" w:ascii="IBM Plex Serif" w:hAnsi="IBM Plex Serif"/>
                <w:i/>
              </w:rPr>
              <w:t>Representar e intervenir</w:t>
            </w:r>
            <w:r>
              <w:rPr>
                <w:rFonts w:eastAsia="IBM Plex Serif" w:cs="IBM Plex Serif" w:ascii="IBM Plex Serif" w:hAnsi="IBM Plex Serif"/>
              </w:rPr>
              <w:t xml:space="preserve"> (pp. 197–214, cap. 10). Paidós Mexicana. (Obra original publicada en 1983)</w:t>
            </w:r>
          </w:p>
          <w:p>
            <w:pPr>
              <w:pStyle w:val="normal11"/>
              <w:widowControl w:val="false"/>
              <w:spacing w:lineRule="auto" w:line="360" w:before="0" w:after="0"/>
              <w:jc w:val="both"/>
              <w:rPr>
                <w:rFonts w:ascii="IBM Plex Serif" w:hAnsi="IBM Plex Serif" w:eastAsia="IBM Plex Serif" w:cs="IBM Plex Serif"/>
              </w:rPr>
            </w:pPr>
            <w:r>
              <w:rPr>
                <w:rFonts w:eastAsia="IBM Plex Serif" w:cs="IBM Plex Serif" w:ascii="IBM Plex Serif" w:hAnsi="IBM Plex Serif"/>
              </w:rPr>
            </w:r>
          </w:p>
          <w:p>
            <w:pPr>
              <w:pStyle w:val="normal11"/>
              <w:widowControl w:val="false"/>
              <w:spacing w:lineRule="auto" w:line="360" w:before="0" w:after="0"/>
              <w:rPr>
                <w:rFonts w:ascii="IBM Plex Serif" w:hAnsi="IBM Plex Serif" w:eastAsia="IBM Plex Serif" w:cs="IBM Plex Serif"/>
                <w:b/>
              </w:rPr>
            </w:pPr>
            <w:r>
              <w:rPr>
                <w:rFonts w:eastAsia="IBM Plex Serif" w:cs="IBM Plex Serif" w:ascii="IBM Plex Serif" w:hAnsi="IBM Plex Serif"/>
                <w:b/>
                <w:sz w:val="24"/>
                <w:szCs w:val="24"/>
              </w:rPr>
              <w:t>Unidad 3</w:t>
            </w:r>
            <w:r>
              <w:rPr>
                <w:rFonts w:eastAsia="IBM Plex Serif" w:cs="IBM Plex Serif" w:ascii="IBM Plex Serif" w:hAnsi="IBM Plex Serif"/>
                <w:b/>
                <w:position w:val="0"/>
                <w:sz w:val="22"/>
                <w:sz w:val="22"/>
                <w:szCs w:val="22"/>
                <w:vertAlign w:val="baseline"/>
              </w:rPr>
              <w:t>:</w:t>
            </w:r>
            <w:r>
              <w:rPr>
                <w:rFonts w:eastAsia="IBM Plex Serif" w:cs="IBM Plex Serif" w:ascii="IBM Plex Serif" w:hAnsi="IBM Plex Serif"/>
                <w:b/>
              </w:rPr>
              <w:t xml:space="preserve"> </w:t>
            </w:r>
          </w:p>
          <w:p>
            <w:pPr>
              <w:pStyle w:val="normal11"/>
              <w:widowControl w:val="false"/>
              <w:spacing w:lineRule="auto" w:line="276"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b/>
              </w:rPr>
              <w:t xml:space="preserve">Temas: </w:t>
            </w:r>
            <w:r>
              <w:rPr>
                <w:rFonts w:eastAsia="IBM Plex Serif" w:cs="IBM Plex Serif" w:ascii="IBM Plex Serif" w:hAnsi="IBM Plex Serif"/>
              </w:rPr>
              <w:t>La Concepción Heredada: antecedentes, limitaciones. Revolución Científica. Inconmensurabilidad, progreso. La actividad científica como resolución de problemas, heurísticas y algoritmos. Epistemología evolucionista. Límites de la ciencia.</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b/>
              </w:rPr>
            </w:pPr>
            <w:r>
              <w:rPr>
                <w:rFonts w:eastAsia="IBM Plex Serif" w:cs="IBM Plex Serif" w:ascii="IBM Plex Serif" w:hAnsi="IBM Plex Serif"/>
                <w:b/>
              </w:rPr>
              <w:t>Bibliografía desarrollo conceptual</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Echeverría, J. (1999). La concepción heredada. En </w:t>
            </w:r>
            <w:r>
              <w:rPr>
                <w:rFonts w:eastAsia="IBM Plex Serif" w:cs="IBM Plex Serif" w:ascii="IBM Plex Serif" w:hAnsi="IBM Plex Serif"/>
                <w:i/>
              </w:rPr>
              <w:t>Introducción a la metodología de la ciencia: La filosofía de la ciencia en el siglo XX</w:t>
            </w:r>
            <w:r>
              <w:rPr>
                <w:rFonts w:eastAsia="IBM Plex Serif" w:cs="IBM Plex Serif" w:ascii="IBM Plex Serif" w:hAnsi="IBM Plex Serif"/>
              </w:rPr>
              <w:t xml:space="preserve"> (pp. 23–74, cap. 2). Editorial Cátedra.</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rPr>
            </w:pPr>
            <w:r>
              <w:rPr>
                <w:rFonts w:eastAsia="IBM Plex Serif" w:cs="IBM Plex Serif" w:ascii="IBM Plex Serif" w:hAnsi="IBM Plex Serif"/>
              </w:rPr>
              <w:t xml:space="preserve">Pérez Ransanz, A. R. (1999). La noción de inconmensurabilidad. En </w:t>
            </w:r>
            <w:r>
              <w:rPr>
                <w:rFonts w:eastAsia="IBM Plex Serif" w:cs="IBM Plex Serif" w:ascii="IBM Plex Serif" w:hAnsi="IBM Plex Serif"/>
                <w:i/>
              </w:rPr>
              <w:t>Kuhn y el cambio científico</w:t>
            </w:r>
            <w:r>
              <w:rPr>
                <w:rFonts w:eastAsia="IBM Plex Serif" w:cs="IBM Plex Serif" w:ascii="IBM Plex Serif" w:hAnsi="IBM Plex Serif"/>
              </w:rPr>
              <w:t xml:space="preserve"> (pp. 83–122, cap. 4). Fondo de Cultura Económica.</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Suppe, F. (1979). Fundamento histórico de la concepción heredada. En P. Castrillo &amp; E. Rada (Trads.), </w:t>
            </w:r>
            <w:r>
              <w:rPr>
                <w:rFonts w:eastAsia="IBM Plex Serif" w:cs="IBM Plex Serif" w:ascii="IBM Plex Serif" w:hAnsi="IBM Plex Serif"/>
                <w:i/>
              </w:rPr>
              <w:t>La estructura de las teorías científicas</w:t>
            </w:r>
            <w:r>
              <w:rPr>
                <w:rFonts w:eastAsia="IBM Plex Serif" w:cs="IBM Plex Serif" w:ascii="IBM Plex Serif" w:hAnsi="IBM Plex Serif"/>
              </w:rPr>
              <w:t xml:space="preserve"> (pp. 20–31). Editora Nacional. (Obra original publicada en 1974)</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Laudan, L. (1985). Un enfoque de solución de problemas al progreso científico. En I. Hacking (Ed.), </w:t>
            </w:r>
            <w:r>
              <w:rPr>
                <w:rFonts w:eastAsia="IBM Plex Serif" w:cs="IBM Plex Serif" w:ascii="IBM Plex Serif" w:hAnsi="IBM Plex Serif"/>
                <w:i/>
              </w:rPr>
              <w:t>Revoluciones científicas</w:t>
            </w:r>
            <w:r>
              <w:rPr>
                <w:rFonts w:eastAsia="IBM Plex Serif" w:cs="IBM Plex Serif" w:ascii="IBM Plex Serif" w:hAnsi="IBM Plex Serif"/>
              </w:rPr>
              <w:t xml:space="preserve"> (pp. 273–293). Fondo de Cultura Económica. (Obra original publicada en 1981)</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i w:val="false"/>
                <w:i w:val="false"/>
                <w:position w:val="0"/>
                <w:sz w:val="22"/>
                <w:sz w:val="22"/>
                <w:szCs w:val="22"/>
                <w:vertAlign w:val="baseline"/>
              </w:rPr>
            </w:pPr>
            <w:r>
              <w:rPr>
                <w:rFonts w:eastAsia="IBM Plex Serif" w:cs="IBM Plex Serif" w:ascii="IBM Plex Serif" w:hAnsi="IBM Plex Serif"/>
                <w:b/>
              </w:rPr>
              <w:t>Bibliografía de aplicación a casos históricos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Martínez, S. (1997). El concepto moderno de ciencia. En </w:t>
            </w:r>
            <w:r>
              <w:rPr>
                <w:rFonts w:eastAsia="IBM Plex Serif" w:cs="IBM Plex Serif" w:ascii="IBM Plex Serif" w:hAnsi="IBM Plex Serif"/>
                <w:i/>
              </w:rPr>
              <w:t>De los efectos a las causas: Sobre la historia de los patrones de explicación científica</w:t>
            </w:r>
            <w:r>
              <w:rPr>
                <w:rFonts w:eastAsia="IBM Plex Serif" w:cs="IBM Plex Serif" w:ascii="IBM Plex Serif" w:hAnsi="IBM Plex Serif"/>
              </w:rPr>
              <w:t xml:space="preserve"> (pp. 83–96, cap. 4). Paidós.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Losee, J. (1981). El método axiomático de Newton. En A. Montesinos (Trad.), </w:t>
            </w:r>
            <w:r>
              <w:rPr>
                <w:rFonts w:eastAsia="IBM Plex Serif" w:cs="IBM Plex Serif" w:ascii="IBM Plex Serif" w:hAnsi="IBM Plex Serif"/>
                <w:i/>
              </w:rPr>
              <w:t>Introducción histórica a la filosofía de la ciencia</w:t>
            </w:r>
            <w:r>
              <w:rPr>
                <w:rFonts w:eastAsia="IBM Plex Serif" w:cs="IBM Plex Serif" w:ascii="IBM Plex Serif" w:hAnsi="IBM Plex Serif"/>
              </w:rPr>
              <w:t xml:space="preserve"> (pp. 89–103, cap. 8). Alianza. (Obra original publicada en 1972)</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Lakatos, I., &amp; Zahar, E. (1989). ¿Por qué superó el programa de investigación de Copérnico al de Tolomeo? En J. Worrall &amp; G. Currie (Eds.),</w:t>
            </w:r>
            <w:r>
              <w:rPr>
                <w:rFonts w:eastAsia="IBM Plex Serif" w:cs="IBM Plex Serif" w:ascii="IBM Plex Serif" w:hAnsi="IBM Plex Serif"/>
                <w:i/>
              </w:rPr>
              <w:t xml:space="preserve"> La metodología de los programas de investigación científica</w:t>
            </w:r>
            <w:r>
              <w:rPr>
                <w:rFonts w:eastAsia="IBM Plex Serif" w:cs="IBM Plex Serif" w:ascii="IBM Plex Serif" w:hAnsi="IBM Plex Serif"/>
              </w:rPr>
              <w:t xml:space="preserve"> (pp. 216–246). Alianza. (Obra original publicada en 1978)</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Kuhn, T. S. (2002). El camino desde La Estructura. En J. Conant &amp; J. Haugeland (Eds.), </w:t>
            </w:r>
            <w:r>
              <w:rPr>
                <w:rFonts w:eastAsia="IBM Plex Serif" w:cs="IBM Plex Serif" w:ascii="IBM Plex Serif" w:hAnsi="IBM Plex Serif"/>
                <w:i/>
              </w:rPr>
              <w:t xml:space="preserve">El camino desde la estructura: Ensayos </w:t>
            </w:r>
            <w:r>
              <w:rPr>
                <w:rFonts w:eastAsia="IBM Plex Serif" w:cs="IBM Plex Serif" w:ascii="IBM Plex Serif" w:hAnsi="IBM Plex Serif"/>
              </w:rPr>
              <w:t>filosóficos</w:t>
            </w:r>
            <w:r>
              <w:rPr>
                <w:rFonts w:eastAsia="IBM Plex Serif" w:cs="IBM Plex Serif" w:ascii="IBM Plex Serif" w:hAnsi="IBM Plex Serif"/>
                <w:i/>
              </w:rPr>
              <w:t>, 1970-1993, con una entrevista autobiográfica</w:t>
            </w:r>
            <w:r>
              <w:rPr>
                <w:rFonts w:eastAsia="IBM Plex Serif" w:cs="IBM Plex Serif" w:ascii="IBM Plex Serif" w:hAnsi="IBM Plex Serif"/>
              </w:rPr>
              <w:t xml:space="preserve"> (pp. 113–130, cap. 4). Paidós. (Obra original publicada en 1991)</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r>
          </w:p>
          <w:p>
            <w:pPr>
              <w:pStyle w:val="normal11"/>
              <w:widowControl w:val="false"/>
              <w:spacing w:lineRule="auto" w:line="360" w:before="0" w:after="0"/>
              <w:rPr>
                <w:rFonts w:ascii="IBM Plex Serif" w:hAnsi="IBM Plex Serif" w:eastAsia="IBM Plex Serif" w:cs="IBM Plex Serif"/>
                <w:position w:val="0"/>
                <w:sz w:val="22"/>
                <w:sz w:val="22"/>
                <w:szCs w:val="22"/>
                <w:u w:val="single"/>
                <w:vertAlign w:val="baseline"/>
              </w:rPr>
            </w:pPr>
            <w:r>
              <w:rPr>
                <w:rFonts w:eastAsia="IBM Plex Serif" w:cs="IBM Plex Serif" w:ascii="IBM Plex Serif" w:hAnsi="IBM Plex Serif"/>
                <w:b/>
                <w:sz w:val="24"/>
                <w:szCs w:val="24"/>
              </w:rPr>
              <w:t>Unidad 4:</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b/>
              </w:rPr>
              <w:t xml:space="preserve">Temas: </w:t>
            </w:r>
            <w:r>
              <w:rPr>
                <w:rFonts w:eastAsia="IBM Plex Serif" w:cs="IBM Plex Serif" w:ascii="IBM Plex Serif" w:hAnsi="IBM Plex Serif"/>
                <w:position w:val="0"/>
                <w:sz w:val="22"/>
                <w:sz w:val="22"/>
                <w:szCs w:val="22"/>
                <w:vertAlign w:val="baseline"/>
              </w:rPr>
              <w:t xml:space="preserve">Ciencia y </w:t>
            </w:r>
            <w:r>
              <w:rPr>
                <w:rFonts w:eastAsia="IBM Plex Serif" w:cs="IBM Plex Serif" w:ascii="IBM Plex Serif" w:hAnsi="IBM Plex Serif"/>
              </w:rPr>
              <w:t>valores</w:t>
            </w:r>
            <w:r>
              <w:rPr>
                <w:rFonts w:eastAsia="IBM Plex Serif" w:cs="IBM Plex Serif" w:ascii="IBM Plex Serif" w:hAnsi="IBM Plex Serif"/>
                <w:position w:val="0"/>
                <w:sz w:val="22"/>
                <w:sz w:val="22"/>
                <w:szCs w:val="22"/>
                <w:vertAlign w:val="baseline"/>
              </w:rPr>
              <w:t>. Ciencia y ética. Aspectos sociales de la ciencia. Pluralismos.</w:t>
            </w:r>
          </w:p>
          <w:p>
            <w:pPr>
              <w:pStyle w:val="normal11"/>
              <w:widowControl w:val="false"/>
              <w:spacing w:lineRule="auto" w:line="360" w:before="0" w:after="0"/>
              <w:rPr>
                <w:rFonts w:ascii="IBM Plex Serif" w:hAnsi="IBM Plex Serif" w:eastAsia="IBM Plex Serif" w:cs="IBM Plex Serif"/>
                <w:position w:val="0"/>
                <w:sz w:val="14"/>
                <w:sz w:val="14"/>
                <w:szCs w:val="14"/>
                <w:vertAlign w:val="baseline"/>
              </w:rPr>
            </w:pPr>
            <w:r>
              <w:rPr>
                <w:rFonts w:eastAsia="IBM Plex Serif" w:cs="IBM Plex Serif" w:ascii="IBM Plex Serif" w:hAnsi="IBM Plex Serif"/>
                <w:position w:val="0"/>
                <w:sz w:val="14"/>
                <w:sz w:val="14"/>
                <w:szCs w:val="14"/>
                <w:vertAlign w:val="baseline"/>
              </w:rPr>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b/>
              </w:rPr>
            </w:pPr>
            <w:r>
              <w:rPr>
                <w:rFonts w:eastAsia="IBM Plex Serif" w:cs="IBM Plex Serif" w:ascii="IBM Plex Serif" w:hAnsi="IBM Plex Serif"/>
                <w:b/>
              </w:rPr>
              <w:t>Bibliografía desarrollo conceptual</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Ruse, M. (1994). Epistemología evolucionista. En </w:t>
            </w:r>
            <w:r>
              <w:rPr>
                <w:rFonts w:eastAsia="IBM Plex Serif" w:cs="IBM Plex Serif" w:ascii="IBM Plex Serif" w:hAnsi="IBM Plex Serif"/>
                <w:i/>
              </w:rPr>
              <w:t>Tomándose a Darwin en serio</w:t>
            </w:r>
            <w:r>
              <w:rPr>
                <w:rFonts w:eastAsia="IBM Plex Serif" w:cs="IBM Plex Serif" w:ascii="IBM Plex Serif" w:hAnsi="IBM Plex Serif"/>
              </w:rPr>
              <w:t xml:space="preserve"> (pp. 50–104, cap. 2). Salvat. (Obra original publicada en 1987)</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Rescher, N. (1999). Sobre los límites éticos de la investigación científica. En </w:t>
            </w:r>
            <w:r>
              <w:rPr>
                <w:rFonts w:eastAsia="IBM Plex Serif" w:cs="IBM Plex Serif" w:ascii="IBM Plex Serif" w:hAnsi="IBM Plex Serif"/>
                <w:i/>
              </w:rPr>
              <w:t>Razón y valores en la era científico-tecnológica</w:t>
            </w:r>
            <w:r>
              <w:rPr>
                <w:rFonts w:eastAsia="IBM Plex Serif" w:cs="IBM Plex Serif" w:ascii="IBM Plex Serif" w:hAnsi="IBM Plex Serif"/>
              </w:rPr>
              <w:t xml:space="preserve"> (pp. 151–167, cap. 7). Paidós.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Bloor, D. (1998). El programa fuerte en sociología del conocimiento. En </w:t>
            </w:r>
            <w:r>
              <w:rPr>
                <w:rFonts w:eastAsia="IBM Plex Serif" w:cs="IBM Plex Serif" w:ascii="IBM Plex Serif" w:hAnsi="IBM Plex Serif"/>
                <w:i/>
              </w:rPr>
              <w:t>Conocimiento e imaginario social</w:t>
            </w:r>
            <w:r>
              <w:rPr>
                <w:rFonts w:eastAsia="IBM Plex Serif" w:cs="IBM Plex Serif" w:ascii="IBM Plex Serif" w:hAnsi="IBM Plex Serif"/>
              </w:rPr>
              <w:t xml:space="preserve"> (2a ed., pp. 33–58, cap. 1). Gedisa. (Obra original publicada en  1971)</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Latour, B. (1992). Un giro más después del giro social. En </w:t>
            </w:r>
            <w:r>
              <w:rPr>
                <w:rFonts w:eastAsia="IBM Plex Serif" w:cs="IBM Plex Serif" w:ascii="IBM Plex Serif" w:hAnsi="IBM Plex Serif"/>
                <w:i/>
              </w:rPr>
              <w:t>Ciencia en acción: Cómo seguir a los científicos e ingenieros a través de la sociedad</w:t>
            </w:r>
            <w:r>
              <w:rPr>
                <w:rFonts w:eastAsia="IBM Plex Serif" w:cs="IBM Plex Serif" w:ascii="IBM Plex Serif" w:hAnsi="IBM Plex Serif"/>
              </w:rPr>
              <w:t xml:space="preserve"> (pp. 245–262, post scriptum). Editorial Labor. (Obra original publicada en  1987)</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Latour, B. (2003). Las promesas del constructivismo. En D. Idhe (Ed.), &amp; S. Tesone (Trad.), </w:t>
            </w:r>
            <w:r>
              <w:rPr>
                <w:rFonts w:eastAsia="IBM Plex Serif" w:cs="IBM Plex Serif" w:ascii="IBM Plex Serif" w:hAnsi="IBM Plex Serif"/>
                <w:i/>
              </w:rPr>
              <w:t>Chasing Technology: Matrix of Materiality</w:t>
            </w:r>
            <w:r>
              <w:rPr>
                <w:rFonts w:eastAsia="IBM Plex Serif" w:cs="IBM Plex Serif" w:ascii="IBM Plex Serif" w:hAnsi="IBM Plex Serif"/>
              </w:rPr>
              <w:t xml:space="preserve"> (pp. 27–46). Indiana University Press.</w:t>
            </w:r>
          </w:p>
          <w:p>
            <w:pPr>
              <w:pStyle w:val="normal11"/>
              <w:keepNext w:val="false"/>
              <w:keepLines w:val="false"/>
              <w:widowControl w:val="false"/>
              <w:shd w:val="clear" w:fill="auto"/>
              <w:spacing w:lineRule="auto" w:line="276" w:before="0" w:after="0"/>
              <w:ind w:hanging="0" w:start="0" w:end="100"/>
              <w:jc w:val="both"/>
              <w:rPr>
                <w:rFonts w:ascii="IBM Plex Serif" w:hAnsi="IBM Plex Serif" w:eastAsia="IBM Plex Serif" w:cs="IBM Plex Serif"/>
                <w:i w:val="false"/>
                <w:i w:val="false"/>
                <w:position w:val="0"/>
                <w:sz w:val="22"/>
                <w:sz w:val="22"/>
                <w:szCs w:val="22"/>
                <w:vertAlign w:val="baseline"/>
              </w:rPr>
            </w:pPr>
            <w:r>
              <w:rPr>
                <w:rFonts w:eastAsia="IBM Plex Serif" w:cs="IBM Plex Serif" w:ascii="IBM Plex Serif" w:hAnsi="IBM Plex Serif"/>
                <w:b/>
              </w:rPr>
              <w:t>Bibliografía de aplicación a casos históricos</w:t>
            </w:r>
          </w:p>
          <w:p>
            <w:pPr>
              <w:pStyle w:val="normal11"/>
              <w:spacing w:lineRule="auto" w:line="276" w:before="0" w:after="0"/>
              <w:ind w:hanging="720" w:start="72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rPr>
              <w:t xml:space="preserve">Pinch, T., &amp; Bijker, W. (2008). La construcción social de hechos y de artefactos: O acerca de cómo la sociología de la ciencia y la sociología de la tecnología pueden beneficiarse mutuamente. En H. Thomas &amp; A. Buch (Eds.), </w:t>
            </w:r>
            <w:r>
              <w:rPr>
                <w:rFonts w:eastAsia="IBM Plex Serif" w:cs="IBM Plex Serif" w:ascii="IBM Plex Serif" w:hAnsi="IBM Plex Serif"/>
                <w:i/>
              </w:rPr>
              <w:t>Actos, actores y artefactos: Sociología de la tecnología</w:t>
            </w:r>
            <w:r>
              <w:rPr>
                <w:rFonts w:eastAsia="IBM Plex Serif" w:cs="IBM Plex Serif" w:ascii="IBM Plex Serif" w:hAnsi="IBM Plex Serif"/>
              </w:rPr>
              <w:t xml:space="preserve"> (pp. 19–62). Editorial de la Universidad de Quilmes. (Obra original publicada en 1984)</w:t>
            </w:r>
          </w:p>
          <w:p>
            <w:pPr>
              <w:pStyle w:val="normal11"/>
              <w:widowControl w:val="false"/>
              <w:spacing w:lineRule="auto" w:line="360" w:before="0" w:after="0"/>
              <w:rPr>
                <w:rFonts w:ascii="IBM Plex Serif" w:hAnsi="IBM Plex Serif" w:eastAsia="IBM Plex Serif" w:cs="IBM Plex Serif"/>
              </w:rPr>
            </w:pPr>
            <w:r>
              <w:rPr>
                <w:rFonts w:eastAsia="IBM Plex Serif" w:cs="IBM Plex Serif" w:ascii="IBM Plex Serif" w:hAnsi="IBM Plex Serif"/>
              </w:rPr>
            </w:r>
          </w:p>
          <w:p>
            <w:pPr>
              <w:pStyle w:val="normal11"/>
              <w:spacing w:lineRule="auto" w:line="276"/>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b/>
                <w:position w:val="0"/>
                <w:sz w:val="22"/>
                <w:sz w:val="22"/>
                <w:szCs w:val="22"/>
                <w:vertAlign w:val="baseline"/>
              </w:rPr>
              <w:t>Taller de ayudantes alumnxs y adscriptxs:</w:t>
            </w:r>
          </w:p>
          <w:p>
            <w:pPr>
              <w:pStyle w:val="normal11"/>
              <w:spacing w:lineRule="auto" w:line="276"/>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rPr>
              <w:t>Se llevará a cabo un t</w:t>
            </w:r>
            <w:r>
              <w:rPr>
                <w:rFonts w:eastAsia="IBM Plex Serif" w:cs="IBM Plex Serif" w:ascii="IBM Plex Serif" w:hAnsi="IBM Plex Serif"/>
                <w:position w:val="0"/>
                <w:sz w:val="22"/>
                <w:sz w:val="22"/>
                <w:szCs w:val="22"/>
                <w:vertAlign w:val="baseline"/>
              </w:rPr>
              <w:t xml:space="preserve">aller de discusión </w:t>
            </w:r>
            <w:r>
              <w:rPr>
                <w:rFonts w:eastAsia="IBM Plex Serif" w:cs="IBM Plex Serif" w:ascii="IBM Plex Serif" w:hAnsi="IBM Plex Serif"/>
              </w:rPr>
              <w:t>organizado y coordinado por ayudantes alumnxs y adscriptxs.</w:t>
            </w:r>
          </w:p>
          <w:p>
            <w:pPr>
              <w:pStyle w:val="normal11"/>
              <w:spacing w:lineRule="auto" w:line="276"/>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p>
            <w:pPr>
              <w:pStyle w:val="normal11"/>
              <w:spacing w:lineRule="auto" w:line="240" w:before="0" w:after="0"/>
              <w:jc w:val="both"/>
              <w:rPr>
                <w:rFonts w:ascii="IBM Plex Serif" w:hAnsi="IBM Plex Serif" w:eastAsia="IBM Plex Serif" w:cs="IBM Plex Serif"/>
                <w:position w:val="0"/>
                <w:sz w:val="24"/>
                <w:sz w:val="24"/>
                <w:szCs w:val="24"/>
                <w:vertAlign w:val="baseline"/>
              </w:rPr>
            </w:pPr>
            <w:r>
              <w:rPr>
                <w:rFonts w:eastAsia="IBM Plex Serif" w:cs="IBM Plex Serif" w:ascii="IBM Plex Serif" w:hAnsi="IBM Plex Serif"/>
                <w:b/>
                <w:sz w:val="24"/>
                <w:szCs w:val="24"/>
              </w:rPr>
              <w:t>Bibliografía complementaria</w:t>
            </w:r>
          </w:p>
          <w:p>
            <w:pPr>
              <w:pStyle w:val="normal11"/>
              <w:ind w:hanging="0" w:start="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Se usarán como material ampliatorio, en la medida en que se estime conveniente, algunos capítulos de la siguiente bibliografía. </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Black, M. (1979). </w:t>
            </w:r>
            <w:r>
              <w:rPr>
                <w:rFonts w:eastAsia="IBM Plex Serif" w:cs="IBM Plex Serif" w:ascii="IBM Plex Serif" w:hAnsi="IBM Plex Serif"/>
                <w:i/>
              </w:rPr>
              <w:t>Inducción y probabilidad</w:t>
            </w:r>
            <w:r>
              <w:rPr>
                <w:rFonts w:eastAsia="IBM Plex Serif" w:cs="IBM Plex Serif" w:ascii="IBM Plex Serif" w:hAnsi="IBM Plex Serif"/>
              </w:rPr>
              <w:t>. Cátedra.</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Golinski, J. (1998). </w:t>
            </w:r>
            <w:r>
              <w:rPr>
                <w:rFonts w:eastAsia="IBM Plex Serif" w:cs="IBM Plex Serif" w:ascii="IBM Plex Serif" w:hAnsi="IBM Plex Serif"/>
                <w:i/>
              </w:rPr>
              <w:t>Making Natural Knowledge: Constructivism and the History of Science</w:t>
            </w:r>
            <w:r>
              <w:rPr>
                <w:rFonts w:eastAsia="IBM Plex Serif" w:cs="IBM Plex Serif" w:ascii="IBM Plex Serif" w:hAnsi="IBM Plex Serif"/>
              </w:rPr>
              <w:t>. Cambridge University Press.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Hacking, I. (1996). </w:t>
            </w:r>
            <w:r>
              <w:rPr>
                <w:rFonts w:eastAsia="IBM Plex Serif" w:cs="IBM Plex Serif" w:ascii="IBM Plex Serif" w:hAnsi="IBM Plex Serif"/>
                <w:i/>
              </w:rPr>
              <w:t>Representar e Intervenir</w:t>
            </w:r>
            <w:r>
              <w:rPr>
                <w:rFonts w:eastAsia="IBM Plex Serif" w:cs="IBM Plex Serif" w:ascii="IBM Plex Serif" w:hAnsi="IBM Plex Serif"/>
              </w:rPr>
              <w:t>. Paidós. (Obra original publicada en 1983)</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Hempel, C. (1988). </w:t>
            </w:r>
            <w:r>
              <w:rPr>
                <w:rFonts w:eastAsia="IBM Plex Serif" w:cs="IBM Plex Serif" w:ascii="IBM Plex Serif" w:hAnsi="IBM Plex Serif"/>
                <w:i/>
              </w:rPr>
              <w:t>La Explicación Científica</w:t>
            </w:r>
            <w:r>
              <w:rPr>
                <w:rFonts w:eastAsia="IBM Plex Serif" w:cs="IBM Plex Serif" w:ascii="IBM Plex Serif" w:hAnsi="IBM Plex Serif"/>
              </w:rPr>
              <w:t>. Paidós. (Obra original publicada en 1965)</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Klimovsky, G. (1994). </w:t>
            </w:r>
            <w:r>
              <w:rPr>
                <w:rFonts w:eastAsia="IBM Plex Serif" w:cs="IBM Plex Serif" w:ascii="IBM Plex Serif" w:hAnsi="IBM Plex Serif"/>
                <w:i/>
              </w:rPr>
              <w:t>Las Desventuras del Conocimiento Científico</w:t>
            </w:r>
            <w:r>
              <w:rPr>
                <w:rFonts w:eastAsia="IBM Plex Serif" w:cs="IBM Plex Serif" w:ascii="IBM Plex Serif" w:hAnsi="IBM Plex Serif"/>
              </w:rPr>
              <w:t>. A-Z Editora.</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Kuhn, T. (1971). </w:t>
            </w:r>
            <w:r>
              <w:rPr>
                <w:rFonts w:eastAsia="IBM Plex Serif" w:cs="IBM Plex Serif" w:ascii="IBM Plex Serif" w:hAnsi="IBM Plex Serif"/>
                <w:i/>
              </w:rPr>
              <w:t>La Estructura de las Revoluciones Científicas</w:t>
            </w:r>
            <w:r>
              <w:rPr>
                <w:rFonts w:eastAsia="IBM Plex Serif" w:cs="IBM Plex Serif" w:ascii="IBM Plex Serif" w:hAnsi="IBM Plex Serif"/>
              </w:rPr>
              <w:t>. Fondo de Cultura Económica. (Obra original publicada en 1962)</w:t>
            </w:r>
          </w:p>
          <w:p>
            <w:pPr>
              <w:pStyle w:val="normal11"/>
              <w:spacing w:lineRule="auto" w:line="276"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Mayr, E. (1982). </w:t>
            </w:r>
            <w:r>
              <w:rPr>
                <w:rFonts w:eastAsia="IBM Plex Serif" w:cs="IBM Plex Serif" w:ascii="IBM Plex Serif" w:hAnsi="IBM Plex Serif"/>
                <w:i/>
              </w:rPr>
              <w:t>The Growth of Biological Thought: Diversity, Evolution, and Inheritance</w:t>
            </w:r>
            <w:r>
              <w:rPr>
                <w:rFonts w:eastAsia="IBM Plex Serif" w:cs="IBM Plex Serif" w:ascii="IBM Plex Serif" w:hAnsi="IBM Plex Serif"/>
              </w:rPr>
              <w:t>. Harvard University Press.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Nagel, E. (1974). </w:t>
            </w:r>
            <w:r>
              <w:rPr>
                <w:rFonts w:eastAsia="IBM Plex Serif" w:cs="IBM Plex Serif" w:ascii="IBM Plex Serif" w:hAnsi="IBM Plex Serif"/>
                <w:i/>
              </w:rPr>
              <w:t>La Estructura de la Ciencia: Problemas de la Lógica de la Investigación Científica</w:t>
            </w:r>
            <w:r>
              <w:rPr>
                <w:rFonts w:eastAsia="IBM Plex Serif" w:cs="IBM Plex Serif" w:ascii="IBM Plex Serif" w:hAnsi="IBM Plex Serif"/>
              </w:rPr>
              <w:t>. Paidós. (Obra original publicada en 1961)</w:t>
            </w:r>
          </w:p>
          <w:p>
            <w:pPr>
              <w:pStyle w:val="normal11"/>
              <w:spacing w:lineRule="auto" w:line="276" w:before="0" w:after="0"/>
              <w:ind w:hanging="720" w:start="720"/>
              <w:jc w:val="both"/>
              <w:rPr>
                <w:rFonts w:ascii="IBM Plex Serif" w:hAnsi="IBM Plex Serif" w:eastAsia="IBM Plex Serif" w:cs="IBM Plex Serif"/>
              </w:rPr>
            </w:pPr>
            <w:r>
              <w:rPr>
                <w:rFonts w:eastAsia="IBM Plex Serif" w:cs="IBM Plex Serif" w:ascii="IBM Plex Serif" w:hAnsi="IBM Plex Serif"/>
              </w:rPr>
              <w:t xml:space="preserve">Pickering, A. (Ed.). (1992). </w:t>
            </w:r>
            <w:r>
              <w:rPr>
                <w:rFonts w:eastAsia="IBM Plex Serif" w:cs="IBM Plex Serif" w:ascii="IBM Plex Serif" w:hAnsi="IBM Plex Serif"/>
                <w:i/>
              </w:rPr>
              <w:t>Science as Practice and Culture</w:t>
            </w:r>
            <w:r>
              <w:rPr>
                <w:rFonts w:eastAsia="IBM Plex Serif" w:cs="IBM Plex Serif" w:ascii="IBM Plex Serif" w:hAnsi="IBM Plex Serif"/>
              </w:rPr>
              <w:t>. University of Chicago Press.</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Popper, K. (1962). </w:t>
            </w:r>
            <w:r>
              <w:rPr>
                <w:rFonts w:eastAsia="IBM Plex Serif" w:cs="IBM Plex Serif" w:ascii="IBM Plex Serif" w:hAnsi="IBM Plex Serif"/>
                <w:i/>
              </w:rPr>
              <w:t>La Lógica de la Investigación Científica</w:t>
            </w:r>
            <w:r>
              <w:rPr>
                <w:rFonts w:eastAsia="IBM Plex Serif" w:cs="IBM Plex Serif" w:ascii="IBM Plex Serif" w:hAnsi="IBM Plex Serif"/>
              </w:rPr>
              <w:t>. Tecnos. (Obra original publicada en 1934)</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Popper, K. (1967). </w:t>
            </w:r>
            <w:r>
              <w:rPr>
                <w:rFonts w:eastAsia="IBM Plex Serif" w:cs="IBM Plex Serif" w:ascii="IBM Plex Serif" w:hAnsi="IBM Plex Serif"/>
                <w:i/>
              </w:rPr>
              <w:t>El Desarrollo del Conocimiento Científico: Conjeturas y Refutaciones</w:t>
            </w:r>
            <w:r>
              <w:rPr>
                <w:rFonts w:eastAsia="IBM Plex Serif" w:cs="IBM Plex Serif" w:ascii="IBM Plex Serif" w:hAnsi="IBM Plex Serif"/>
              </w:rPr>
              <w:t>. Paidós. (Obra original publicada en 1962)</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Suppe, F. (1979). </w:t>
            </w:r>
            <w:r>
              <w:rPr>
                <w:rFonts w:eastAsia="IBM Plex Serif" w:cs="IBM Plex Serif" w:ascii="IBM Plex Serif" w:hAnsi="IBM Plex Serif"/>
                <w:i/>
              </w:rPr>
              <w:t>La Estructura de las Teorías Científicas</w:t>
            </w:r>
            <w:r>
              <w:rPr>
                <w:rFonts w:eastAsia="IBM Plex Serif" w:cs="IBM Plex Serif" w:ascii="IBM Plex Serif" w:hAnsi="IBM Plex Serif"/>
              </w:rPr>
              <w:t>. Editora Nacional. (Obra original publicada en 1974)</w:t>
            </w:r>
          </w:p>
          <w:p>
            <w:pPr>
              <w:pStyle w:val="normal11"/>
              <w:keepNext w:val="false"/>
              <w:keepLines w:val="false"/>
              <w:widowControl/>
              <w:shd w:val="clear" w:fill="auto"/>
              <w:spacing w:lineRule="auto" w:line="276" w:before="0" w:after="0"/>
              <w:ind w:hanging="720" w:start="720" w:end="0"/>
              <w:jc w:val="both"/>
              <w:rPr>
                <w:rFonts w:ascii="IBM Plex Serif" w:hAnsi="IBM Plex Serif" w:eastAsia="IBM Plex Serif" w:cs="IBM Plex Serif"/>
              </w:rPr>
            </w:pPr>
            <w:r>
              <w:rPr>
                <w:rFonts w:eastAsia="IBM Plex Serif" w:cs="IBM Plex Serif" w:ascii="IBM Plex Serif" w:hAnsi="IBM Plex Serif"/>
              </w:rPr>
              <w:t xml:space="preserve">Van Fraassen, B. (1996). </w:t>
            </w:r>
            <w:r>
              <w:rPr>
                <w:rFonts w:eastAsia="IBM Plex Serif" w:cs="IBM Plex Serif" w:ascii="IBM Plex Serif" w:hAnsi="IBM Plex Serif"/>
                <w:i/>
              </w:rPr>
              <w:t>La Imagen Científica</w:t>
            </w:r>
            <w:r>
              <w:rPr>
                <w:rFonts w:eastAsia="IBM Plex Serif" w:cs="IBM Plex Serif" w:ascii="IBM Plex Serif" w:hAnsi="IBM Plex Serif"/>
              </w:rPr>
              <w:t>. Paidós. (Obra original publicada en 1980)</w:t>
            </w:r>
          </w:p>
          <w:p>
            <w:pPr>
              <w:pStyle w:val="normal11"/>
              <w:spacing w:lineRule="auto" w:line="240" w:before="0" w:after="20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tc>
      </w:tr>
      <w:tr>
        <w:trPr/>
        <w:tc>
          <w:tcPr>
            <w:tcW w:w="10168" w:type="dxa"/>
            <w:gridSpan w:val="2"/>
            <w:tcBorders>
              <w:top w:val="single" w:sz="4" w:space="0" w:color="000000"/>
              <w:bottom w:val="single" w:sz="4" w:space="0" w:color="000000"/>
            </w:tcBorders>
          </w:tcPr>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REGIMEN DE CURSADO</w:t>
            </w:r>
          </w:p>
          <w:p>
            <w:pPr>
              <w:pStyle w:val="normal11"/>
              <w:spacing w:lineRule="auto" w:line="240" w:before="0" w:after="200"/>
              <w:ind w:firstLine="708"/>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La asignatura podrá cursarse como promocional o regular según las normativas vigentes para el cursado 2025.</w:t>
            </w:r>
          </w:p>
        </w:tc>
      </w:tr>
      <w:tr>
        <w:trPr/>
        <w:tc>
          <w:tcPr>
            <w:tcW w:w="10168" w:type="dxa"/>
            <w:gridSpan w:val="2"/>
            <w:tcBorders>
              <w:top w:val="single" w:sz="4" w:space="0" w:color="000000"/>
              <w:bottom w:val="single" w:sz="4" w:space="0" w:color="000000"/>
            </w:tcBorders>
          </w:tcPr>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EVALUACION </w:t>
            </w:r>
          </w:p>
          <w:p>
            <w:pPr>
              <w:pStyle w:val="normal11"/>
              <w:ind w:firstLine="708"/>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Se tomarán durante el cuatrimestre dos evaluaciones integradoras que comprenderán los textos de desarrollo conceptual, los de aplicación a casos históricos así como las actividades desarrolladas que son parte del taller de ayudantes alumnxs y adscriptxs. </w:t>
            </w:r>
          </w:p>
          <w:p>
            <w:pPr>
              <w:pStyle w:val="normal11"/>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b/>
                <w:position w:val="0"/>
                <w:sz w:val="22"/>
                <w:sz w:val="22"/>
                <w:szCs w:val="22"/>
                <w:vertAlign w:val="baseline"/>
              </w:rPr>
              <w:t>Requisitos para la promoción y la regularidad</w:t>
            </w:r>
          </w:p>
          <w:p>
            <w:pPr>
              <w:pStyle w:val="normal11"/>
              <w:spacing w:lineRule="auto" w:line="240" w:before="0" w:after="0"/>
              <w:jc w:val="both"/>
              <w:rPr>
                <w:rFonts w:ascii="IBM Plex Serif" w:hAnsi="IBM Plex Serif" w:eastAsia="IBM Plex Serif" w:cs="IBM Plex Serif"/>
                <w:i w:val="false"/>
                <w:i w:val="false"/>
                <w:position w:val="0"/>
                <w:sz w:val="22"/>
                <w:sz w:val="22"/>
                <w:szCs w:val="22"/>
                <w:vertAlign w:val="baseline"/>
              </w:rPr>
            </w:pPr>
            <w:r>
              <w:rPr>
                <w:rFonts w:eastAsia="IBM Plex Serif" w:cs="IBM Plex Serif" w:ascii="IBM Plex Serif" w:hAnsi="IBM Plex Serif"/>
                <w:i/>
                <w:position w:val="0"/>
                <w:sz w:val="22"/>
                <w:sz w:val="22"/>
                <w:szCs w:val="22"/>
                <w:vertAlign w:val="baseline"/>
              </w:rPr>
              <w:t>Alumnxs regulares</w:t>
            </w:r>
          </w:p>
          <w:p>
            <w:pPr>
              <w:pStyle w:val="normal11"/>
              <w:numPr>
                <w:ilvl w:val="0"/>
                <w:numId w:val="2"/>
              </w:numPr>
              <w:spacing w:lineRule="auto" w:line="240" w:before="0" w:after="0"/>
              <w:ind w:hanging="360" w:start="72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Aprobar las dos Evaluaciones Integradoras con calificaciones iguales o mayores a 4 (cuatro). </w:t>
            </w:r>
          </w:p>
          <w:p>
            <w:pPr>
              <w:pStyle w:val="normal11"/>
              <w:numPr>
                <w:ilvl w:val="0"/>
                <w:numId w:val="2"/>
              </w:numPr>
              <w:spacing w:lineRule="auto" w:line="240" w:before="0" w:after="0"/>
              <w:ind w:hanging="360" w:start="72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Aprobar las dos Evaluaciones Prácticas.</w:t>
            </w:r>
          </w:p>
          <w:p>
            <w:pPr>
              <w:pStyle w:val="normal11"/>
              <w:spacing w:lineRule="auto" w:line="240" w:before="200" w:after="0"/>
              <w:jc w:val="both"/>
              <w:rPr>
                <w:rFonts w:ascii="IBM Plex Serif" w:hAnsi="IBM Plex Serif" w:eastAsia="IBM Plex Serif" w:cs="IBM Plex Serif"/>
                <w:i w:val="false"/>
                <w:i w:val="false"/>
                <w:position w:val="0"/>
                <w:sz w:val="22"/>
                <w:sz w:val="22"/>
                <w:szCs w:val="22"/>
                <w:vertAlign w:val="baseline"/>
              </w:rPr>
            </w:pPr>
            <w:r>
              <w:rPr>
                <w:rFonts w:eastAsia="IBM Plex Serif" w:cs="IBM Plex Serif" w:ascii="IBM Plex Serif" w:hAnsi="IBM Plex Serif"/>
                <w:i/>
                <w:position w:val="0"/>
                <w:sz w:val="22"/>
                <w:sz w:val="22"/>
                <w:szCs w:val="22"/>
                <w:vertAlign w:val="baseline"/>
              </w:rPr>
              <w:t>Alumnxs promocionales</w:t>
            </w:r>
          </w:p>
          <w:p>
            <w:pPr>
              <w:pStyle w:val="normal11"/>
              <w:numPr>
                <w:ilvl w:val="0"/>
                <w:numId w:val="1"/>
              </w:numPr>
              <w:spacing w:lineRule="auto" w:line="240" w:before="0" w:after="0"/>
              <w:ind w:hanging="360" w:start="72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Aprobar las dos Evaluaciones Integradoras con calificaciones iguales o mayores a 6 (seis) y un promedio mínimo de 7 (siete).</w:t>
            </w:r>
          </w:p>
          <w:p>
            <w:pPr>
              <w:pStyle w:val="normal11"/>
              <w:numPr>
                <w:ilvl w:val="0"/>
                <w:numId w:val="1"/>
              </w:numPr>
              <w:spacing w:lineRule="auto" w:line="240" w:before="0" w:after="0"/>
              <w:ind w:hanging="360" w:start="72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Aprobar las dos Evaluaciones Prácticas</w:t>
            </w:r>
            <w:r>
              <w:rPr>
                <w:rFonts w:eastAsia="IBM Plex Serif" w:cs="IBM Plex Serif" w:ascii="IBM Plex Serif" w:hAnsi="IBM Plex Serif"/>
              </w:rPr>
              <w:t xml:space="preserve"> con calificaciones iguales o mayores a 6 (seis) y un promedio mínimo de 7 (siete).</w:t>
            </w:r>
          </w:p>
          <w:p>
            <w:pPr>
              <w:pStyle w:val="normal11"/>
              <w:numPr>
                <w:ilvl w:val="0"/>
                <w:numId w:val="1"/>
              </w:numPr>
              <w:spacing w:lineRule="auto" w:line="240" w:before="0" w:after="0"/>
              <w:ind w:hanging="360" w:start="72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Coloquio final.</w:t>
            </w:r>
          </w:p>
          <w:p>
            <w:pPr>
              <w:pStyle w:val="normal11"/>
              <w:spacing w:lineRule="auto" w:line="240" w:before="0" w:after="20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rPr>
              <w:br/>
            </w:r>
            <w:r>
              <w:rPr>
                <w:rFonts w:eastAsia="IBM Plex Serif" w:cs="IBM Plex Serif" w:ascii="IBM Plex Serif" w:hAnsi="IBM Plex Serif"/>
                <w:position w:val="0"/>
                <w:sz w:val="22"/>
                <w:sz w:val="22"/>
                <w:szCs w:val="22"/>
                <w:vertAlign w:val="baseline"/>
              </w:rPr>
              <w:t>Se planificarán los recuperatorios reglamentarios para las evaluaciones.</w:t>
            </w:r>
          </w:p>
        </w:tc>
      </w:tr>
      <w:tr>
        <w:trPr/>
        <w:tc>
          <w:tcPr>
            <w:tcW w:w="10168" w:type="dxa"/>
            <w:gridSpan w:val="2"/>
            <w:tcBorders>
              <w:top w:val="single" w:sz="4" w:space="0" w:color="000000"/>
              <w:bottom w:val="single" w:sz="4" w:space="0" w:color="000000"/>
            </w:tcBorders>
          </w:tcPr>
          <w:p>
            <w:pPr>
              <w:pStyle w:val="normal11"/>
              <w:spacing w:lineRule="auto" w:line="240" w:before="0" w:after="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CRONOGRAMA TENTATIVO DE EVALUACIONES</w:t>
            </w:r>
          </w:p>
          <w:p>
            <w:pPr>
              <w:pStyle w:val="normal11"/>
              <w:jc w:val="both"/>
              <w:rPr>
                <w:rFonts w:ascii="IBM Plex Serif" w:hAnsi="IBM Plex Serif" w:eastAsia="IBM Plex Serif" w:cs="IBM Plex Serif"/>
                <w:i w:val="false"/>
                <w:i w:val="false"/>
                <w:position w:val="0"/>
                <w:sz w:val="22"/>
                <w:sz w:val="22"/>
                <w:szCs w:val="22"/>
                <w:vertAlign w:val="baseline"/>
              </w:rPr>
            </w:pPr>
            <w:r>
              <w:rPr>
                <w:rFonts w:eastAsia="IBM Plex Serif" w:cs="IBM Plex Serif" w:ascii="IBM Plex Serif" w:hAnsi="IBM Plex Serif"/>
                <w:i w:val="false"/>
                <w:position w:val="0"/>
                <w:sz w:val="22"/>
                <w:sz w:val="22"/>
                <w:szCs w:val="22"/>
                <w:vertAlign w:val="baseline"/>
              </w:rPr>
            </w:r>
          </w:p>
          <w:p>
            <w:pPr>
              <w:pStyle w:val="normal11"/>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Primera Evaluación Integradora (presencial): </w:t>
            </w:r>
            <w:r>
              <w:rPr>
                <w:rFonts w:eastAsia="IBM Plex Serif" w:cs="IBM Plex Serif" w:ascii="IBM Plex Serif" w:hAnsi="IBM Plex Serif"/>
                <w:b/>
                <w:position w:val="0"/>
                <w:sz w:val="22"/>
                <w:sz w:val="22"/>
                <w:szCs w:val="22"/>
                <w:vertAlign w:val="baseline"/>
              </w:rPr>
              <w:t>7 de mayo.</w:t>
            </w:r>
          </w:p>
          <w:p>
            <w:pPr>
              <w:pStyle w:val="normal11"/>
              <w:jc w:val="both"/>
              <w:rPr>
                <w:u w:val="single"/>
              </w:rPr>
            </w:pPr>
            <w:r>
              <w:rPr>
                <w:rFonts w:eastAsia="IBM Plex Serif" w:cs="IBM Plex Serif" w:ascii="IBM Plex Serif" w:hAnsi="IBM Plex Serif"/>
                <w:b w:val="false"/>
                <w:position w:val="0"/>
                <w:sz w:val="22"/>
                <w:sz w:val="22"/>
                <w:szCs w:val="22"/>
                <w:u w:val="single"/>
                <w:vertAlign w:val="baseline"/>
              </w:rPr>
              <w:t>Parcial alumnos trabajadores</w:t>
            </w:r>
            <w:r>
              <w:rPr>
                <w:rFonts w:eastAsia="IBM Plex Serif" w:cs="IBM Plex Serif" w:ascii="IBM Plex Serif" w:hAnsi="IBM Plex Serif"/>
                <w:b/>
                <w:position w:val="0"/>
                <w:sz w:val="22"/>
                <w:sz w:val="22"/>
                <w:szCs w:val="22"/>
                <w:u w:val="single"/>
                <w:vertAlign w:val="baseline"/>
              </w:rPr>
              <w:t>: 21 de mayo</w:t>
            </w:r>
          </w:p>
          <w:p>
            <w:pPr>
              <w:pStyle w:val="normal11"/>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Segunda Evaluación Integradora (domiciliaria): </w:t>
            </w:r>
            <w:r>
              <w:rPr>
                <w:rFonts w:eastAsia="IBM Plex Serif" w:cs="IBM Plex Serif" w:ascii="IBM Plex Serif" w:hAnsi="IBM Plex Serif"/>
                <w:b/>
                <w:position w:val="0"/>
                <w:sz w:val="22"/>
                <w:sz w:val="22"/>
                <w:szCs w:val="22"/>
                <w:vertAlign w:val="baseline"/>
              </w:rPr>
              <w:t xml:space="preserve">6 de junio. </w:t>
            </w:r>
          </w:p>
          <w:p>
            <w:pPr>
              <w:pStyle w:val="normal11"/>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Recuperatorios Evaluaciones Integradoras (presencial): </w:t>
            </w:r>
            <w:sdt>
              <w:sdtPr>
                <w:tag w:val="goog_rdk_0"/>
              </w:sdtPr>
              <w:sdtContent>
                <w:r>
                  <w:rPr>
                    <w:rFonts w:eastAsia="IBM Plex Serif" w:cs="IBM Plex Serif" w:ascii="IBM Plex Serif" w:hAnsi="IBM Plex Serif"/>
                    <w:position w:val="0"/>
                    <w:sz w:val="22"/>
                    <w:sz w:val="22"/>
                    <w:szCs w:val="22"/>
                    <w:vertAlign w:val="baseline"/>
                  </w:rPr>
                </w:r>
                <w:r>
                  <w:rPr>
                    <w:rFonts w:eastAsia="IBM Plex Serif" w:cs="IBM Plex Serif" w:ascii="IBM Plex Serif" w:hAnsi="IBM Plex Serif"/>
                    <w:position w:val="0"/>
                    <w:sz w:val="22"/>
                    <w:sz w:val="22"/>
                    <w:szCs w:val="22"/>
                    <w:vertAlign w:val="baseline"/>
                  </w:rPr>
                </w:r>
              </w:sdtContent>
            </w:sdt>
            <w:r>
              <w:rPr>
                <w:rFonts w:eastAsia="IBM Plex Serif" w:cs="IBM Plex Serif" w:ascii="IBM Plex Serif" w:hAnsi="IBM Plex Serif"/>
                <w:b/>
              </w:rPr>
              <w:t xml:space="preserve">19 </w:t>
            </w:r>
            <w:r>
              <w:rPr>
                <w:rFonts w:eastAsia="IBM Plex Serif" w:cs="IBM Plex Serif" w:ascii="IBM Plex Serif" w:hAnsi="IBM Plex Serif"/>
                <w:b/>
                <w:position w:val="0"/>
                <w:sz w:val="22"/>
                <w:sz w:val="22"/>
                <w:szCs w:val="22"/>
                <w:vertAlign w:val="baseline"/>
              </w:rPr>
              <w:t>de junio</w:t>
            </w:r>
            <w:r>
              <w:rPr>
                <w:rFonts w:eastAsia="IBM Plex Serif" w:cs="IBM Plex Serif" w:ascii="IBM Plex Serif" w:hAnsi="IBM Plex Serif"/>
              </w:rPr>
              <w:t xml:space="preserve"> </w:t>
            </w:r>
            <w:r>
              <w:rPr>
                <w:rFonts w:eastAsia="IBM Plex Serif" w:cs="IBM Plex Serif" w:ascii="IBM Plex Serif" w:hAnsi="IBM Plex Serif"/>
                <w:position w:val="0"/>
                <w:sz w:val="22"/>
                <w:sz w:val="22"/>
                <w:szCs w:val="22"/>
                <w:vertAlign w:val="baseline"/>
              </w:rPr>
              <w:t>(</w:t>
            </w:r>
            <w:r>
              <w:rPr>
                <w:rFonts w:eastAsia="IBM Plex Serif" w:cs="IBM Plex Serif" w:ascii="IBM Plex Serif" w:hAnsi="IBM Plex Serif"/>
              </w:rPr>
              <w:t>s</w:t>
            </w:r>
            <w:r>
              <w:rPr>
                <w:rFonts w:eastAsia="IBM Plex Serif" w:cs="IBM Plex Serif" w:ascii="IBM Plex Serif" w:hAnsi="IBM Plex Serif"/>
                <w:position w:val="0"/>
                <w:sz w:val="22"/>
                <w:sz w:val="22"/>
                <w:szCs w:val="22"/>
                <w:vertAlign w:val="baseline"/>
              </w:rPr>
              <w:t>ólo se puede recuperar una evaluación).</w:t>
            </w:r>
          </w:p>
          <w:p>
            <w:pPr>
              <w:pStyle w:val="normal11"/>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Práctico Evaluado 1: </w:t>
            </w:r>
            <w:r>
              <w:rPr>
                <w:rFonts w:eastAsia="IBM Plex Serif" w:cs="IBM Plex Serif" w:ascii="IBM Plex Serif" w:hAnsi="IBM Plex Serif"/>
                <w:b/>
                <w:position w:val="0"/>
                <w:sz w:val="22"/>
                <w:sz w:val="22"/>
                <w:szCs w:val="22"/>
                <w:vertAlign w:val="baseline"/>
              </w:rPr>
              <w:t>24 d</w:t>
            </w:r>
            <w:r>
              <w:rPr>
                <w:rFonts w:eastAsia="IBM Plex Serif" w:cs="IBM Plex Serif" w:ascii="IBM Plex Serif" w:hAnsi="IBM Plex Serif"/>
                <w:b/>
              </w:rPr>
              <w:t>e abril</w:t>
            </w:r>
          </w:p>
          <w:p>
            <w:pPr>
              <w:pStyle w:val="normal11"/>
              <w:jc w:val="both"/>
              <w:rPr>
                <w:rFonts w:ascii="IBM Plex Serif" w:hAnsi="IBM Plex Serif" w:eastAsia="IBM Plex Serif" w:cs="IBM Plex Serif"/>
                <w:b/>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Práctico Evaluado 2: </w:t>
            </w:r>
            <w:r>
              <w:rPr>
                <w:rFonts w:eastAsia="IBM Plex Serif" w:cs="IBM Plex Serif" w:ascii="IBM Plex Serif" w:hAnsi="IBM Plex Serif"/>
                <w:b/>
                <w:position w:val="0"/>
                <w:sz w:val="22"/>
                <w:sz w:val="22"/>
                <w:szCs w:val="22"/>
                <w:vertAlign w:val="baseline"/>
              </w:rPr>
              <w:t xml:space="preserve">22 de </w:t>
            </w:r>
            <w:r>
              <w:rPr>
                <w:rFonts w:eastAsia="IBM Plex Serif" w:cs="IBM Plex Serif" w:ascii="IBM Plex Serif" w:hAnsi="IBM Plex Serif"/>
                <w:b/>
              </w:rPr>
              <w:t>mayo</w:t>
            </w:r>
          </w:p>
          <w:p>
            <w:pPr>
              <w:pStyle w:val="normal11"/>
              <w:spacing w:before="0" w:after="200"/>
              <w:jc w:val="both"/>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t xml:space="preserve">Recuperatorios prácticos:  </w:t>
            </w:r>
            <w:r>
              <w:rPr>
                <w:rFonts w:eastAsia="IBM Plex Serif" w:cs="IBM Plex Serif" w:ascii="IBM Plex Serif" w:hAnsi="IBM Plex Serif"/>
                <w:b/>
                <w:position w:val="0"/>
                <w:sz w:val="22"/>
                <w:sz w:val="22"/>
                <w:szCs w:val="22"/>
                <w:vertAlign w:val="baseline"/>
              </w:rPr>
              <w:t xml:space="preserve">19 </w:t>
            </w:r>
            <w:r>
              <w:rPr>
                <w:rFonts w:eastAsia="IBM Plex Serif" w:cs="IBM Plex Serif" w:ascii="IBM Plex Serif" w:hAnsi="IBM Plex Serif"/>
                <w:b/>
              </w:rPr>
              <w:t xml:space="preserve">de junio </w:t>
            </w:r>
            <w:r>
              <w:rPr>
                <w:rFonts w:eastAsia="IBM Plex Serif" w:cs="IBM Plex Serif" w:ascii="IBM Plex Serif" w:hAnsi="IBM Plex Serif"/>
                <w:position w:val="0"/>
                <w:sz w:val="22"/>
                <w:sz w:val="22"/>
                <w:szCs w:val="22"/>
                <w:vertAlign w:val="baseline"/>
              </w:rPr>
              <w:t>(</w:t>
            </w:r>
            <w:r>
              <w:rPr>
                <w:rFonts w:eastAsia="IBM Plex Serif" w:cs="IBM Plex Serif" w:ascii="IBM Plex Serif" w:hAnsi="IBM Plex Serif"/>
              </w:rPr>
              <w:t>s</w:t>
            </w:r>
            <w:r>
              <w:rPr>
                <w:rFonts w:eastAsia="IBM Plex Serif" w:cs="IBM Plex Serif" w:ascii="IBM Plex Serif" w:hAnsi="IBM Plex Serif"/>
                <w:position w:val="0"/>
                <w:sz w:val="22"/>
                <w:sz w:val="22"/>
                <w:szCs w:val="22"/>
                <w:vertAlign w:val="baseline"/>
              </w:rPr>
              <w:t>ólo se puede recuperar un práctico evaluado)</w:t>
            </w:r>
          </w:p>
        </w:tc>
      </w:tr>
    </w:tbl>
    <w:p>
      <w:pPr>
        <w:pStyle w:val="normal11"/>
        <w:spacing w:lineRule="auto" w:line="240" w:before="0" w:after="200"/>
        <w:rPr>
          <w:rFonts w:ascii="IBM Plex Serif" w:hAnsi="IBM Plex Serif" w:eastAsia="IBM Plex Serif" w:cs="IBM Plex Serif"/>
          <w:position w:val="0"/>
          <w:sz w:val="22"/>
          <w:sz w:val="22"/>
          <w:szCs w:val="22"/>
          <w:vertAlign w:val="baseline"/>
        </w:rPr>
      </w:pPr>
      <w:r>
        <w:rPr>
          <w:rFonts w:eastAsia="IBM Plex Serif" w:cs="IBM Plex Serif" w:ascii="IBM Plex Serif" w:hAnsi="IBM Plex Serif"/>
          <w:position w:val="0"/>
          <w:sz w:val="22"/>
          <w:sz w:val="22"/>
          <w:szCs w:val="22"/>
          <w:vertAlign w:val="baseline"/>
        </w:rPr>
      </w:r>
    </w:p>
    <w:sectPr>
      <w:footerReference w:type="even" r:id="rId4"/>
      <w:footerReference w:type="default" r:id="rId5"/>
      <w:footerReference w:type="first" r:id="rId6"/>
      <w:type w:val="nextPage"/>
      <w:pgSz w:w="11906" w:h="16838"/>
      <w:pgMar w:left="1701" w:right="1701" w:gutter="0" w:header="0"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auto"/>
    <w:pitch w:val="variable"/>
  </w:font>
  <w:font w:name="Tahoma">
    <w:charset w:val="01" w:characterSet="utf-8"/>
    <w:family w:val="auto"/>
    <w:pitch w:val="variable"/>
  </w:font>
  <w:font w:name="Times New Roman">
    <w:charset w:val="01" w:characterSet="utf-8"/>
    <w:family w:val="roman"/>
    <w:pitch w:val="variable"/>
  </w:font>
  <w:font w:name="Liberation Sans">
    <w:altName w:val="Arial"/>
    <w:charset w:val="01" w:characterSet="utf-8"/>
    <w:family w:val="auto"/>
    <w:pitch w:val="variable"/>
  </w:font>
  <w:font w:name="Georgia">
    <w:charset w:val="01" w:characterSet="utf-8"/>
    <w:family w:val="auto"/>
    <w:pitch w:val="variable"/>
  </w:font>
  <w:font w:name="IBM Plex Serif">
    <w:charset w:val="01" w:characterSet="utf-8"/>
    <w:family w:val="auto"/>
    <w:pitch w:val="variable"/>
  </w:font>
  <w:font w:name="IBM Plex Serif Medium">
    <w:charset w:val="01" w:characterSet="utf-8"/>
    <w:family w:val="auto"/>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419" w:leader="none"/>
        <w:tab w:val="right" w:pos="8838" w:leader="none"/>
      </w:tabs>
      <w:spacing w:lineRule="auto" w:line="240" w:before="0" w:after="200"/>
      <w:ind w:end="0"/>
      <w:jc w:val="end"/>
      <w:rPr>
        <w:rFonts w:ascii="IBM Plex Serif" w:hAnsi="IBM Plex Serif" w:eastAsia="IBM Plex Serif" w:cs="IBM Plex Serif"/>
        <w:i w:val="false"/>
        <w:i w:val="false"/>
        <w:caps w:val="false"/>
        <w:smallCaps w:val="false"/>
        <w:strike w:val="false"/>
        <w:dstrike w:val="false"/>
        <w:color w:val="000000"/>
        <w:position w:val="0"/>
        <w:sz w:val="20"/>
        <w:sz w:val="20"/>
        <w:szCs w:val="20"/>
        <w:u w:val="none"/>
        <w:shd w:fill="auto" w:val="clear"/>
        <w:vertAlign w:val="baseline"/>
      </w:rPr>
    </w:pPr>
    <w:r>
      <w:rPr/>
      <w:fldChar w:fldCharType="begin"/>
    </w:r>
    <w:r>
      <w:rPr/>
      <w:instrText xml:space="preserve"> PAGE </w:instrText>
    </w:r>
    <w:r>
      <w:rPr/>
      <w:fldChar w:fldCharType="separate"/>
    </w:r>
    <w:r>
      <w:rPr/>
      <w:t>6</w:t>
    </w:r>
    <w:r>
      <w:rPr/>
      <w:fldChar w:fldCharType="end"/>
    </w:r>
  </w:p>
  <w:p>
    <w:pPr>
      <w:pStyle w:val="normal11"/>
      <w:keepNext w:val="false"/>
      <w:keepLines w:val="false"/>
      <w:widowControl/>
      <w:shd w:val="clear" w:fill="auto"/>
      <w:tabs>
        <w:tab w:val="clear" w:pos="720"/>
        <w:tab w:val="center" w:pos="4419" w:leader="none"/>
        <w:tab w:val="right" w:pos="8838" w:leader="none"/>
      </w:tabs>
      <w:spacing w:lineRule="auto" w:line="276" w:before="0" w:after="200"/>
      <w:ind w:hanging="0" w:start="0" w:end="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419" w:leader="none"/>
        <w:tab w:val="right" w:pos="8838" w:leader="none"/>
      </w:tabs>
      <w:spacing w:lineRule="auto" w:line="240" w:before="0" w:after="200"/>
      <w:ind w:end="0"/>
      <w:jc w:val="end"/>
      <w:rPr>
        <w:rFonts w:ascii="IBM Plex Serif" w:hAnsi="IBM Plex Serif" w:eastAsia="IBM Plex Serif" w:cs="IBM Plex Serif"/>
        <w:i w:val="false"/>
        <w:i w:val="false"/>
        <w:caps w:val="false"/>
        <w:smallCaps w:val="false"/>
        <w:strike w:val="false"/>
        <w:dstrike w:val="false"/>
        <w:color w:val="000000"/>
        <w:position w:val="0"/>
        <w:sz w:val="20"/>
        <w:sz w:val="20"/>
        <w:szCs w:val="20"/>
        <w:u w:val="none"/>
        <w:shd w:fill="auto" w:val="clear"/>
        <w:vertAlign w:val="baseline"/>
      </w:rPr>
    </w:pPr>
    <w:r>
      <w:rPr/>
      <w:fldChar w:fldCharType="begin"/>
    </w:r>
    <w:r>
      <w:rPr/>
      <w:instrText xml:space="preserve"> PAGE </w:instrText>
    </w:r>
    <w:r>
      <w:rPr/>
      <w:fldChar w:fldCharType="separate"/>
    </w:r>
    <w:r>
      <w:rPr/>
      <w:t>6</w:t>
    </w:r>
    <w:r>
      <w:rPr/>
      <w:fldChar w:fldCharType="end"/>
    </w:r>
  </w:p>
  <w:p>
    <w:pPr>
      <w:pStyle w:val="normal11"/>
      <w:keepNext w:val="false"/>
      <w:keepLines w:val="false"/>
      <w:widowControl/>
      <w:shd w:val="clear" w:fill="auto"/>
      <w:tabs>
        <w:tab w:val="clear" w:pos="720"/>
        <w:tab w:val="center" w:pos="4419" w:leader="none"/>
        <w:tab w:val="right" w:pos="8838" w:leader="none"/>
      </w:tabs>
      <w:spacing w:lineRule="auto" w:line="276" w:before="0" w:after="200"/>
      <w:ind w:hanging="0" w:start="0" w:end="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Noto Sans Symbols" w:hAnsi="Noto Sans Symbols" w:cs="Noto Sans Symbols" w:hint="default"/>
        <w:vertAlign w:val="baseline"/>
        <w:position w:val="0"/>
        <w:sz w:val="22"/>
        <w:sz w:val="22"/>
        <w:szCs w:val="22"/>
      </w:rPr>
    </w:lvl>
    <w:lvl w:ilvl="1">
      <w:start w:val="1"/>
      <w:numFmt w:val="bullet"/>
      <w:lvlText w:val="o"/>
      <w:lvlJc w:val="start"/>
      <w:pPr>
        <w:tabs>
          <w:tab w:val="num" w:pos="0"/>
        </w:tabs>
        <w:ind w:start="1440" w:hanging="360"/>
      </w:pPr>
      <w:rPr>
        <w:rFonts w:ascii="Courier New" w:hAnsi="Courier New" w:cs="Courier New" w:hint="default"/>
        <w:vertAlign w:val="baseline"/>
        <w:position w:val="0"/>
        <w:sz w:val="22"/>
        <w:sz w:val="22"/>
        <w:szCs w:val="22"/>
      </w:rPr>
    </w:lvl>
    <w:lvl w:ilvl="2">
      <w:start w:val="1"/>
      <w:numFmt w:val="bullet"/>
      <w:lvlText w:val="▪"/>
      <w:lvlJc w:val="start"/>
      <w:pPr>
        <w:tabs>
          <w:tab w:val="num" w:pos="0"/>
        </w:tabs>
        <w:ind w:start="2160" w:hanging="360"/>
      </w:pPr>
      <w:rPr>
        <w:rFonts w:ascii="Noto Sans Symbols" w:hAnsi="Noto Sans Symbols" w:cs="Noto Sans Symbols" w:hint="default"/>
        <w:vertAlign w:val="baseline"/>
        <w:position w:val="0"/>
        <w:sz w:val="22"/>
        <w:sz w:val="22"/>
        <w:szCs w:val="22"/>
      </w:rPr>
    </w:lvl>
    <w:lvl w:ilvl="3">
      <w:start w:val="1"/>
      <w:numFmt w:val="bullet"/>
      <w:lvlText w:val="●"/>
      <w:lvlJc w:val="start"/>
      <w:pPr>
        <w:tabs>
          <w:tab w:val="num" w:pos="0"/>
        </w:tabs>
        <w:ind w:start="2880" w:hanging="360"/>
      </w:pPr>
      <w:rPr>
        <w:rFonts w:ascii="Noto Sans Symbols" w:hAnsi="Noto Sans Symbols" w:cs="Noto Sans Symbols" w:hint="default"/>
        <w:vertAlign w:val="baseline"/>
        <w:position w:val="0"/>
        <w:sz w:val="22"/>
        <w:sz w:val="22"/>
        <w:szCs w:val="22"/>
      </w:rPr>
    </w:lvl>
    <w:lvl w:ilvl="4">
      <w:start w:val="1"/>
      <w:numFmt w:val="bullet"/>
      <w:lvlText w:val="o"/>
      <w:lvlJc w:val="start"/>
      <w:pPr>
        <w:tabs>
          <w:tab w:val="num" w:pos="0"/>
        </w:tabs>
        <w:ind w:start="3600" w:hanging="360"/>
      </w:pPr>
      <w:rPr>
        <w:rFonts w:ascii="Courier New" w:hAnsi="Courier New" w:cs="Courier New" w:hint="default"/>
        <w:vertAlign w:val="baseline"/>
        <w:position w:val="0"/>
        <w:sz w:val="22"/>
        <w:sz w:val="22"/>
        <w:szCs w:val="22"/>
      </w:rPr>
    </w:lvl>
    <w:lvl w:ilvl="5">
      <w:start w:val="1"/>
      <w:numFmt w:val="bullet"/>
      <w:lvlText w:val="▪"/>
      <w:lvlJc w:val="start"/>
      <w:pPr>
        <w:tabs>
          <w:tab w:val="num" w:pos="0"/>
        </w:tabs>
        <w:ind w:start="4320" w:hanging="360"/>
      </w:pPr>
      <w:rPr>
        <w:rFonts w:ascii="Noto Sans Symbols" w:hAnsi="Noto Sans Symbols" w:cs="Noto Sans Symbols" w:hint="default"/>
        <w:vertAlign w:val="baseline"/>
        <w:position w:val="0"/>
        <w:sz w:val="22"/>
        <w:sz w:val="22"/>
        <w:szCs w:val="22"/>
      </w:rPr>
    </w:lvl>
    <w:lvl w:ilvl="6">
      <w:start w:val="1"/>
      <w:numFmt w:val="bullet"/>
      <w:lvlText w:val="●"/>
      <w:lvlJc w:val="start"/>
      <w:pPr>
        <w:tabs>
          <w:tab w:val="num" w:pos="0"/>
        </w:tabs>
        <w:ind w:start="5040" w:hanging="360"/>
      </w:pPr>
      <w:rPr>
        <w:rFonts w:ascii="Noto Sans Symbols" w:hAnsi="Noto Sans Symbols" w:cs="Noto Sans Symbols" w:hint="default"/>
        <w:vertAlign w:val="baseline"/>
        <w:position w:val="0"/>
        <w:sz w:val="22"/>
        <w:sz w:val="22"/>
        <w:szCs w:val="22"/>
      </w:rPr>
    </w:lvl>
    <w:lvl w:ilvl="7">
      <w:start w:val="1"/>
      <w:numFmt w:val="bullet"/>
      <w:lvlText w:val="o"/>
      <w:lvlJc w:val="start"/>
      <w:pPr>
        <w:tabs>
          <w:tab w:val="num" w:pos="0"/>
        </w:tabs>
        <w:ind w:start="5760" w:hanging="360"/>
      </w:pPr>
      <w:rPr>
        <w:rFonts w:ascii="Courier New" w:hAnsi="Courier New" w:cs="Courier New" w:hint="default"/>
        <w:vertAlign w:val="baseline"/>
        <w:position w:val="0"/>
        <w:sz w:val="22"/>
        <w:sz w:val="22"/>
        <w:szCs w:val="22"/>
      </w:rPr>
    </w:lvl>
    <w:lvl w:ilvl="8">
      <w:start w:val="1"/>
      <w:numFmt w:val="bullet"/>
      <w:lvlText w:val="▪"/>
      <w:lvlJc w:val="start"/>
      <w:pPr>
        <w:tabs>
          <w:tab w:val="num" w:pos="0"/>
        </w:tabs>
        <w:ind w:start="6480" w:hanging="360"/>
      </w:pPr>
      <w:rPr>
        <w:rFonts w:ascii="Noto Sans Symbols" w:hAnsi="Noto Sans Symbols" w:cs="Noto Sans Symbols" w:hint="default"/>
        <w:vertAlign w:val="baseline"/>
        <w:position w:val="0"/>
        <w:sz w:val="22"/>
        <w:sz w:val="22"/>
        <w:szCs w:val="22"/>
      </w:rPr>
    </w:lvl>
  </w:abstractNum>
  <w:abstractNum w:abstractNumId="2">
    <w:lvl w:ilvl="0">
      <w:start w:val="1"/>
      <w:numFmt w:val="bullet"/>
      <w:lvlText w:val="●"/>
      <w:lvlJc w:val="start"/>
      <w:pPr>
        <w:tabs>
          <w:tab w:val="num" w:pos="0"/>
        </w:tabs>
        <w:ind w:start="720" w:hanging="360"/>
      </w:pPr>
      <w:rPr>
        <w:rFonts w:ascii="Noto Sans Symbols" w:hAnsi="Noto Sans Symbols" w:cs="Noto Sans Symbols" w:hint="default"/>
        <w:vertAlign w:val="baseline"/>
        <w:position w:val="0"/>
        <w:sz w:val="22"/>
        <w:sz w:val="22"/>
        <w:szCs w:val="22"/>
      </w:rPr>
    </w:lvl>
    <w:lvl w:ilvl="1">
      <w:start w:val="1"/>
      <w:numFmt w:val="bullet"/>
      <w:lvlText w:val="o"/>
      <w:lvlJc w:val="start"/>
      <w:pPr>
        <w:tabs>
          <w:tab w:val="num" w:pos="0"/>
        </w:tabs>
        <w:ind w:start="1440" w:hanging="360"/>
      </w:pPr>
      <w:rPr>
        <w:rFonts w:ascii="Courier New" w:hAnsi="Courier New" w:cs="Courier New" w:hint="default"/>
        <w:vertAlign w:val="baseline"/>
        <w:position w:val="0"/>
        <w:sz w:val="22"/>
        <w:sz w:val="22"/>
        <w:szCs w:val="22"/>
      </w:rPr>
    </w:lvl>
    <w:lvl w:ilvl="2">
      <w:start w:val="1"/>
      <w:numFmt w:val="bullet"/>
      <w:lvlText w:val="▪"/>
      <w:lvlJc w:val="start"/>
      <w:pPr>
        <w:tabs>
          <w:tab w:val="num" w:pos="0"/>
        </w:tabs>
        <w:ind w:start="2160" w:hanging="360"/>
      </w:pPr>
      <w:rPr>
        <w:rFonts w:ascii="Noto Sans Symbols" w:hAnsi="Noto Sans Symbols" w:cs="Noto Sans Symbols" w:hint="default"/>
        <w:vertAlign w:val="baseline"/>
        <w:position w:val="0"/>
        <w:sz w:val="22"/>
        <w:sz w:val="22"/>
        <w:szCs w:val="22"/>
      </w:rPr>
    </w:lvl>
    <w:lvl w:ilvl="3">
      <w:start w:val="1"/>
      <w:numFmt w:val="bullet"/>
      <w:lvlText w:val="●"/>
      <w:lvlJc w:val="start"/>
      <w:pPr>
        <w:tabs>
          <w:tab w:val="num" w:pos="0"/>
        </w:tabs>
        <w:ind w:start="2880" w:hanging="360"/>
      </w:pPr>
      <w:rPr>
        <w:rFonts w:ascii="Noto Sans Symbols" w:hAnsi="Noto Sans Symbols" w:cs="Noto Sans Symbols" w:hint="default"/>
        <w:vertAlign w:val="baseline"/>
        <w:position w:val="0"/>
        <w:sz w:val="22"/>
        <w:sz w:val="22"/>
        <w:szCs w:val="22"/>
      </w:rPr>
    </w:lvl>
    <w:lvl w:ilvl="4">
      <w:start w:val="1"/>
      <w:numFmt w:val="bullet"/>
      <w:lvlText w:val="o"/>
      <w:lvlJc w:val="start"/>
      <w:pPr>
        <w:tabs>
          <w:tab w:val="num" w:pos="0"/>
        </w:tabs>
        <w:ind w:start="3600" w:hanging="360"/>
      </w:pPr>
      <w:rPr>
        <w:rFonts w:ascii="Courier New" w:hAnsi="Courier New" w:cs="Courier New" w:hint="default"/>
        <w:vertAlign w:val="baseline"/>
        <w:position w:val="0"/>
        <w:sz w:val="22"/>
        <w:sz w:val="22"/>
        <w:szCs w:val="22"/>
      </w:rPr>
    </w:lvl>
    <w:lvl w:ilvl="5">
      <w:start w:val="1"/>
      <w:numFmt w:val="bullet"/>
      <w:lvlText w:val="▪"/>
      <w:lvlJc w:val="start"/>
      <w:pPr>
        <w:tabs>
          <w:tab w:val="num" w:pos="0"/>
        </w:tabs>
        <w:ind w:start="4320" w:hanging="360"/>
      </w:pPr>
      <w:rPr>
        <w:rFonts w:ascii="Noto Sans Symbols" w:hAnsi="Noto Sans Symbols" w:cs="Noto Sans Symbols" w:hint="default"/>
        <w:vertAlign w:val="baseline"/>
        <w:position w:val="0"/>
        <w:sz w:val="22"/>
        <w:sz w:val="22"/>
        <w:szCs w:val="22"/>
      </w:rPr>
    </w:lvl>
    <w:lvl w:ilvl="6">
      <w:start w:val="1"/>
      <w:numFmt w:val="bullet"/>
      <w:lvlText w:val="●"/>
      <w:lvlJc w:val="start"/>
      <w:pPr>
        <w:tabs>
          <w:tab w:val="num" w:pos="0"/>
        </w:tabs>
        <w:ind w:start="5040" w:hanging="360"/>
      </w:pPr>
      <w:rPr>
        <w:rFonts w:ascii="Noto Sans Symbols" w:hAnsi="Noto Sans Symbols" w:cs="Noto Sans Symbols" w:hint="default"/>
        <w:vertAlign w:val="baseline"/>
        <w:position w:val="0"/>
        <w:sz w:val="22"/>
        <w:sz w:val="22"/>
        <w:szCs w:val="22"/>
      </w:rPr>
    </w:lvl>
    <w:lvl w:ilvl="7">
      <w:start w:val="1"/>
      <w:numFmt w:val="bullet"/>
      <w:lvlText w:val="o"/>
      <w:lvlJc w:val="start"/>
      <w:pPr>
        <w:tabs>
          <w:tab w:val="num" w:pos="0"/>
        </w:tabs>
        <w:ind w:start="5760" w:hanging="360"/>
      </w:pPr>
      <w:rPr>
        <w:rFonts w:ascii="Courier New" w:hAnsi="Courier New" w:cs="Courier New" w:hint="default"/>
        <w:vertAlign w:val="baseline"/>
        <w:position w:val="0"/>
        <w:sz w:val="22"/>
        <w:sz w:val="22"/>
        <w:szCs w:val="22"/>
      </w:rPr>
    </w:lvl>
    <w:lvl w:ilvl="8">
      <w:start w:val="1"/>
      <w:numFmt w:val="bullet"/>
      <w:lvlText w:val="▪"/>
      <w:lvlJc w:val="start"/>
      <w:pPr>
        <w:tabs>
          <w:tab w:val="num" w:pos="0"/>
        </w:tabs>
        <w:ind w:start="6480" w:hanging="360"/>
      </w:pPr>
      <w:rPr>
        <w:rFonts w:ascii="Noto Sans Symbols" w:hAnsi="Noto Sans Symbols" w:cs="Noto Sans Symbols" w:hint="default"/>
        <w:vertAlign w:val="baseline"/>
        <w:position w:val="0"/>
        <w:sz w:val="22"/>
        <w:sz w:val="22"/>
        <w:szCs w:val="22"/>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autoHyphenation w:val="true"/>
  <w:hyphenationZone w:val="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next w:val="normal11"/>
    <w:qFormat/>
    <w:pPr>
      <w:widowControl/>
      <w:suppressAutoHyphens w:val="true"/>
      <w:bidi w:val="0"/>
      <w:spacing w:lineRule="auto" w:line="276" w:before="0" w:after="200"/>
      <w:jc w:val="start"/>
      <w:textAlignment w:val="top"/>
      <w:outlineLvl w:val="0"/>
    </w:pPr>
    <w:rPr>
      <w:rFonts w:ascii="Calibri" w:hAnsi="Calibri" w:eastAsia="Calibri" w:cs="Calibri"/>
      <w:color w:val="auto"/>
      <w:w w:val="100"/>
      <w:kern w:val="0"/>
      <w:position w:val="-1"/>
      <w:sz w:val="22"/>
      <w:szCs w:val="22"/>
      <w:effect w:val="none"/>
      <w:em w:val="none"/>
      <w:lang w:val="es-ES" w:eastAsia="en-US" w:bidi="ar-SA"/>
    </w:rPr>
  </w:style>
  <w:style w:type="paragraph" w:styleId="Heading1">
    <w:name w:val="heading 1"/>
    <w:basedOn w:val="normal11"/>
    <w:next w:val="normal11"/>
    <w:qFormat/>
    <w:pPr>
      <w:keepNext w:val="true"/>
      <w:keepLines/>
      <w:pageBreakBefore w:val="false"/>
      <w:spacing w:lineRule="auto" w:line="240" w:before="480" w:after="120"/>
    </w:pPr>
    <w:rPr>
      <w:b/>
      <w:sz w:val="48"/>
      <w:szCs w:val="48"/>
    </w:rPr>
  </w:style>
  <w:style w:type="paragraph" w:styleId="Heading2">
    <w:name w:val="heading 2"/>
    <w:basedOn w:val="normal11"/>
    <w:next w:val="normal11"/>
    <w:qFormat/>
    <w:pPr>
      <w:keepNext w:val="true"/>
      <w:keepLines/>
      <w:pageBreakBefore w:val="false"/>
      <w:spacing w:lineRule="auto" w:line="240" w:before="360" w:after="80"/>
    </w:pPr>
    <w:rPr>
      <w:b/>
      <w:sz w:val="36"/>
      <w:szCs w:val="36"/>
    </w:rPr>
  </w:style>
  <w:style w:type="paragraph" w:styleId="Heading3">
    <w:name w:val="heading 3"/>
    <w:basedOn w:val="normal11"/>
    <w:next w:val="normal11"/>
    <w:qFormat/>
    <w:pPr>
      <w:keepNext w:val="true"/>
      <w:keepLines/>
      <w:pageBreakBefore w:val="false"/>
      <w:spacing w:lineRule="auto" w:line="240" w:before="280" w:after="80"/>
    </w:pPr>
    <w:rPr>
      <w:b/>
      <w:sz w:val="28"/>
      <w:szCs w:val="28"/>
    </w:rPr>
  </w:style>
  <w:style w:type="paragraph" w:styleId="Heading4">
    <w:name w:val="heading 4"/>
    <w:basedOn w:val="normal11"/>
    <w:next w:val="normal11"/>
    <w:qFormat/>
    <w:pPr>
      <w:keepNext w:val="true"/>
      <w:keepLines/>
      <w:pageBreakBefore w:val="false"/>
      <w:spacing w:lineRule="auto" w:line="240" w:before="240" w:after="40"/>
    </w:pPr>
    <w:rPr>
      <w:b/>
      <w:sz w:val="24"/>
      <w:szCs w:val="24"/>
    </w:rPr>
  </w:style>
  <w:style w:type="paragraph" w:styleId="Heading5">
    <w:name w:val="heading 5"/>
    <w:basedOn w:val="normal11"/>
    <w:next w:val="normal11"/>
    <w:qFormat/>
    <w:pPr>
      <w:keepNext w:val="true"/>
      <w:keepLines/>
      <w:pageBreakBefore w:val="false"/>
      <w:spacing w:lineRule="auto" w:line="240" w:before="220" w:after="40"/>
    </w:pPr>
    <w:rPr>
      <w:b/>
      <w:sz w:val="22"/>
      <w:szCs w:val="22"/>
    </w:rPr>
  </w:style>
  <w:style w:type="paragraph" w:styleId="Heading6">
    <w:name w:val="heading 6"/>
    <w:basedOn w:val="normal11"/>
    <w:next w:val="normal11"/>
    <w:qFormat/>
    <w:pPr>
      <w:keepNext w:val="true"/>
      <w:keepLines/>
      <w:pageBreakBefore w:val="false"/>
      <w:spacing w:lineRule="auto" w:line="240" w:before="200" w:after="40"/>
    </w:pPr>
    <w:rPr>
      <w:b/>
      <w:sz w:val="20"/>
      <w:szCs w:val="20"/>
    </w:rPr>
  </w:style>
  <w:style w:type="character" w:styleId="Fuentedeprrafopredeter">
    <w:name w:val="Fuente de párrafo predeter."/>
    <w:qFormat/>
    <w:rPr>
      <w:w w:val="100"/>
      <w:position w:val="0"/>
      <w:sz w:val="22"/>
      <w:sz w:val="22"/>
      <w:effect w:val="none"/>
      <w:vertAlign w:val="baseline"/>
      <w:em w:val="none"/>
    </w:rPr>
  </w:style>
  <w:style w:type="character" w:styleId="TextodegloboCar">
    <w:name w:val="Texto de globo Car"/>
    <w:qFormat/>
    <w:rPr>
      <w:rFonts w:ascii="Tahoma" w:hAnsi="Tahoma" w:cs="Tahoma"/>
      <w:w w:val="100"/>
      <w:position w:val="0"/>
      <w:sz w:val="16"/>
      <w:sz w:val="16"/>
      <w:szCs w:val="16"/>
      <w:effect w:val="none"/>
      <w:vertAlign w:val="baseline"/>
      <w:em w:val="none"/>
    </w:rPr>
  </w:style>
  <w:style w:type="character" w:styleId="EncabezadoCar">
    <w:name w:val="Encabezado Car"/>
    <w:qFormat/>
    <w:rPr>
      <w:w w:val="100"/>
      <w:position w:val="0"/>
      <w:sz w:val="22"/>
      <w:sz w:val="22"/>
      <w:szCs w:val="22"/>
      <w:effect w:val="none"/>
      <w:vertAlign w:val="baseline"/>
      <w:em w:val="none"/>
      <w:lang w:val="es-ES" w:eastAsia="en-US"/>
    </w:rPr>
  </w:style>
  <w:style w:type="character" w:styleId="PiedepginaCar">
    <w:name w:val="Pie de página Car"/>
    <w:qFormat/>
    <w:rPr>
      <w:w w:val="100"/>
      <w:position w:val="0"/>
      <w:sz w:val="22"/>
      <w:sz w:val="22"/>
      <w:szCs w:val="22"/>
      <w:effect w:val="none"/>
      <w:vertAlign w:val="baseline"/>
      <w:em w:val="none"/>
      <w:lang w:val="es-ES" w:eastAsia="en-US"/>
    </w:rPr>
  </w:style>
  <w:style w:type="character" w:styleId="Ttulo1Car">
    <w:name w:val="Título 1 Car"/>
    <w:qFormat/>
    <w:rPr>
      <w:rFonts w:ascii="Times New Roman" w:hAnsi="Times New Roman" w:eastAsia="Times New Roman"/>
      <w:b/>
      <w:bCs/>
      <w:w w:val="100"/>
      <w:kern w:val="2"/>
      <w:position w:val="0"/>
      <w:sz w:val="48"/>
      <w:sz w:val="48"/>
      <w:szCs w:val="48"/>
      <w:effect w:val="none"/>
      <w:vertAlign w:val="baseline"/>
      <w:em w:val="none"/>
    </w:rPr>
  </w:style>
  <w:style w:type="character" w:styleId="TextoindependienteCar">
    <w:name w:val="Texto independiente Car"/>
    <w:qFormat/>
    <w:rPr>
      <w:rFonts w:ascii="Times New Roman" w:hAnsi="Times New Roman" w:eastAsia="Times New Roman"/>
      <w:bCs/>
      <w:w w:val="100"/>
      <w:position w:val="0"/>
      <w:sz w:val="24"/>
      <w:sz w:val="24"/>
      <w:szCs w:val="24"/>
      <w:effect w:val="none"/>
      <w:vertAlign w:val="baseline"/>
      <w:em w:val="none"/>
      <w:lang w:val="es-MX" w:eastAsia="es-MX"/>
    </w:rPr>
  </w:style>
  <w:style w:type="paragraph" w:styleId="Heading">
    <w:name w:val="Heading"/>
    <w:basedOn w:val="normal1"/>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Noto Sans Devanagari"/>
    </w:rPr>
  </w:style>
  <w:style w:type="paragraph" w:styleId="Caption">
    <w:name w:val="caption"/>
    <w:basedOn w:val="normal1"/>
    <w:qFormat/>
    <w:pPr>
      <w:suppressLineNumbers/>
      <w:spacing w:before="120" w:after="120"/>
    </w:pPr>
    <w:rPr>
      <w:rFonts w:cs="Noto Sans Devanagari"/>
      <w:i/>
      <w:iCs/>
      <w:sz w:val="24"/>
      <w:szCs w:val="24"/>
    </w:rPr>
  </w:style>
  <w:style w:type="paragraph" w:styleId="Index">
    <w:name w:val="Index"/>
    <w:basedOn w:val="normal1"/>
    <w:qFormat/>
    <w:pPr>
      <w:suppressLineNumbers/>
    </w:pPr>
    <w:rPr>
      <w:rFonts w:cs="Noto Sans Devanagari"/>
    </w:rPr>
  </w:style>
  <w:style w:type="paragraph" w:styleId="normal1" w:default="1">
    <w:name w:val="normal1"/>
    <w:qFormat/>
    <w:pPr>
      <w:widowControl/>
      <w:suppressAutoHyphens w:val="true"/>
      <w:bidi w:val="0"/>
      <w:spacing w:lineRule="auto" w:line="276" w:before="0" w:after="200"/>
      <w:jc w:val="start"/>
    </w:pPr>
    <w:rPr>
      <w:rFonts w:ascii="Calibri" w:hAnsi="Calibri" w:eastAsia="Calibri" w:cs="Calibri"/>
      <w:color w:val="auto"/>
      <w:kern w:val="0"/>
      <w:sz w:val="22"/>
      <w:szCs w:val="22"/>
      <w:lang w:val="en-US" w:eastAsia="zh-CN" w:bidi="hi-IN"/>
    </w:rPr>
  </w:style>
  <w:style w:type="paragraph" w:styleId="Title">
    <w:name w:val="Title"/>
    <w:basedOn w:val="normal11"/>
    <w:next w:val="normal11"/>
    <w:qFormat/>
    <w:pPr>
      <w:keepNext w:val="true"/>
      <w:keepLines/>
      <w:pageBreakBefore w:val="false"/>
      <w:spacing w:lineRule="auto" w:line="240" w:before="480" w:after="120"/>
    </w:pPr>
    <w:rPr>
      <w:b/>
      <w:sz w:val="72"/>
      <w:szCs w:val="72"/>
    </w:rPr>
  </w:style>
  <w:style w:type="paragraph" w:styleId="normal11" w:default="1">
    <w:name w:val="normal11"/>
    <w:qFormat/>
    <w:pPr>
      <w:widowControl/>
      <w:suppressAutoHyphens w:val="true"/>
      <w:bidi w:val="0"/>
      <w:spacing w:lineRule="auto" w:line="276" w:before="0" w:after="200"/>
      <w:jc w:val="start"/>
    </w:pPr>
    <w:rPr>
      <w:rFonts w:ascii="Calibri" w:hAnsi="Calibri" w:eastAsia="Calibri" w:cs="Calibri"/>
      <w:color w:val="auto"/>
      <w:kern w:val="0"/>
      <w:sz w:val="22"/>
      <w:szCs w:val="22"/>
      <w:lang w:val="en-US" w:eastAsia="zh-CN" w:bidi="hi-IN"/>
    </w:rPr>
  </w:style>
  <w:style w:type="paragraph" w:styleId="Ttulo1">
    <w:name w:val="Título 1"/>
    <w:basedOn w:val="normal11"/>
    <w:qFormat/>
    <w:pPr>
      <w:suppressAutoHyphens w:val="true"/>
      <w:spacing w:lineRule="auto" w:line="240" w:beforeAutospacing="1" w:afterAutospacing="1"/>
      <w:textAlignment w:val="top"/>
      <w:outlineLvl w:val="0"/>
    </w:pPr>
    <w:rPr>
      <w:rFonts w:ascii="Times New Roman" w:hAnsi="Times New Roman" w:eastAsia="Times New Roman"/>
      <w:b/>
      <w:bCs/>
      <w:w w:val="100"/>
      <w:kern w:val="2"/>
      <w:position w:val="-1"/>
      <w:sz w:val="48"/>
      <w:szCs w:val="48"/>
      <w:effect w:val="none"/>
      <w:em w:val="none"/>
      <w:lang w:val="es-AR" w:eastAsia="es-AR" w:bidi="ar-SA"/>
    </w:rPr>
  </w:style>
  <w:style w:type="paragraph" w:styleId="Textodeglobo">
    <w:name w:val="Texto de globo"/>
    <w:basedOn w:val="normal11"/>
    <w:qFormat/>
    <w:pPr>
      <w:suppressAutoHyphens w:val="true"/>
      <w:spacing w:lineRule="auto" w:line="240" w:before="0" w:after="0"/>
      <w:textAlignment w:val="top"/>
      <w:outlineLvl w:val="0"/>
    </w:pPr>
    <w:rPr>
      <w:rFonts w:ascii="Tahoma" w:hAnsi="Tahoma"/>
      <w:w w:val="100"/>
      <w:position w:val="-1"/>
      <w:sz w:val="16"/>
      <w:szCs w:val="16"/>
      <w:effect w:val="none"/>
      <w:em w:val="none"/>
      <w:lang w:val="und" w:eastAsia="und" w:bidi="ar-SA"/>
    </w:rPr>
  </w:style>
  <w:style w:type="paragraph" w:styleId="Prrafodelista">
    <w:name w:val="Párrafo de lista"/>
    <w:basedOn w:val="normal11"/>
    <w:qFormat/>
    <w:pPr>
      <w:suppressAutoHyphens w:val="true"/>
      <w:spacing w:lineRule="auto" w:line="276" w:before="0" w:after="200"/>
      <w:ind w:start="720"/>
      <w:contextualSpacing/>
      <w:textAlignment w:val="top"/>
      <w:outlineLvl w:val="0"/>
    </w:pPr>
    <w:rPr>
      <w:rFonts w:ascii="Calibri" w:hAnsi="Calibri" w:eastAsia="Calibri" w:cs="Times New Roman"/>
      <w:w w:val="100"/>
      <w:position w:val="-1"/>
      <w:sz w:val="22"/>
      <w:szCs w:val="22"/>
      <w:effect w:val="none"/>
      <w:em w:val="none"/>
      <w:lang w:val="en-GB" w:eastAsia="en-US" w:bidi="ar-SA"/>
    </w:rPr>
  </w:style>
  <w:style w:type="paragraph" w:styleId="Encabezado">
    <w:name w:val="Encabezado"/>
    <w:basedOn w:val="normal11"/>
    <w:qFormat/>
    <w:pPr>
      <w:tabs>
        <w:tab w:val="clear" w:pos="720"/>
        <w:tab w:val="center" w:pos="4419" w:leader="none"/>
        <w:tab w:val="right" w:pos="8838" w:leader="none"/>
      </w:tabs>
      <w:suppressAutoHyphens w:val="true"/>
      <w:spacing w:lineRule="auto" w:line="276" w:before="0" w:after="200"/>
      <w:textAlignment w:val="top"/>
      <w:outlineLvl w:val="0"/>
    </w:pPr>
    <w:rPr>
      <w:w w:val="100"/>
      <w:position w:val="-1"/>
      <w:sz w:val="22"/>
      <w:szCs w:val="22"/>
      <w:effect w:val="none"/>
      <w:em w:val="none"/>
      <w:lang w:val="es-ES" w:eastAsia="en-US" w:bidi="ar-SA"/>
    </w:rPr>
  </w:style>
  <w:style w:type="paragraph" w:styleId="Piedepgina">
    <w:name w:val="Pie de página"/>
    <w:basedOn w:val="normal11"/>
    <w:qFormat/>
    <w:pPr>
      <w:tabs>
        <w:tab w:val="clear" w:pos="720"/>
        <w:tab w:val="center" w:pos="4419" w:leader="none"/>
        <w:tab w:val="right" w:pos="8838" w:leader="none"/>
      </w:tabs>
      <w:suppressAutoHyphens w:val="true"/>
      <w:spacing w:lineRule="auto" w:line="276" w:before="0" w:after="200"/>
      <w:textAlignment w:val="top"/>
      <w:outlineLvl w:val="0"/>
    </w:pPr>
    <w:rPr>
      <w:w w:val="100"/>
      <w:position w:val="-1"/>
      <w:sz w:val="22"/>
      <w:szCs w:val="22"/>
      <w:effect w:val="none"/>
      <w:em w:val="none"/>
      <w:lang w:val="es-ES" w:eastAsia="en-US" w:bidi="ar-SA"/>
    </w:rPr>
  </w:style>
  <w:style w:type="paragraph" w:styleId="Textoindependiente">
    <w:name w:val="Texto independiente"/>
    <w:basedOn w:val="normal11"/>
    <w:qFormat/>
    <w:pPr>
      <w:suppressAutoHyphens w:val="true"/>
      <w:spacing w:lineRule="auto" w:line="240" w:before="0" w:after="0"/>
      <w:jc w:val="both"/>
      <w:textAlignment w:val="top"/>
      <w:outlineLvl w:val="0"/>
    </w:pPr>
    <w:rPr>
      <w:rFonts w:ascii="Times New Roman" w:hAnsi="Times New Roman" w:eastAsia="Times New Roman"/>
      <w:bCs/>
      <w:w w:val="100"/>
      <w:position w:val="-1"/>
      <w:sz w:val="24"/>
      <w:szCs w:val="24"/>
      <w:effect w:val="none"/>
      <w:em w:val="none"/>
      <w:lang w:val="es-MX" w:eastAsia="es-MX"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1"/>
    <w:qFormat/>
    <w:pPr/>
    <w:rPr/>
  </w:style>
  <w:style w:type="paragraph" w:styleId="Footer">
    <w:name w:val="footer"/>
    <w:basedOn w:val="HeaderandFooter"/>
    <w:pPr/>
    <w:rPr/>
  </w:style>
  <w:style w:type="numbering" w:styleId="Sinlista">
    <w:name w:val="Sin lista"/>
    <w:qFormat/>
  </w:style>
  <w:style w:type="table" w:default="1" w:styleId="TableNormal">
    <w:name w:val="Table Normal"/>
  </w:style>
  <w:style w:type="table" w:default="1" w:styleId="TableNormal">
    <w:name w:val="Table Normal"/>
  </w:style>
  <w:style w:type="table" w:styleId="Tablanormal">
    <w:name w:val="Tabla normal"/>
    <w:qFormat/>
    <w:pPr>
      <w:ind w:rightChars="0"/>
      <w:spacing w:line="1" w:lineRule="atLeast"/>
    </w:pPr>
    <w:tblPr>
      <w:tblCellMar>
        <w:top w:w="0" w:type="dxa"/>
        <w:left w:w="108" w:type="dxa"/>
        <w:bottom w:w="0" w:type="dxa"/>
        <w:right w:w="108" w:type="dxa"/>
      </w:tblCellMar>
    </w:tblPr>
  </w:style>
  <w:style w:type="table" w:styleId="Tablaconcuadrícula">
    <w:name w:val="Tabla con cuadrícula"/>
    <w:basedOn w:val="Tablanormal"/>
    <w:qFormat/>
    <w:pPr>
      <w:ind w:rightChars="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VLNyawi+XvVf1MNyIv4oyfxIgeg==">CgMxLjAaJwoBMBIiCiAIBCocCgtBQUFCZXJtdlljQRAIGgtBQUFCZXJtdlljQSKJAgoLQUFBQmVybXZZY0ES1wEKC0FBQUJlcm12WWNBEgtBQUFCZXJtdlljQRodCgl0ZXh0L2h0bWwSEGVsIDIwIGVzIGZlcmlhZG8iHgoKdGV4dC9wbGFpbhIQZWwgMjAgZXMgZmVyaWFkbyobIhUxMDk4NTkyMjI0MTQyMTQwNzI1NDkoADgAMM7ut/TTMjjO7rf00zJKGQoKdGV4dC9wbGFpbhILMTkgZGUganVuaW9aDDZxODJ2cHlmcTY1bHICIAB4AJoBBggAEAAYAKoBEhIQZWwgMjAgZXMgZmVyaWFkb7ABALgBABjO7rf00zIgzu639NMyMABCEGtpeC5xMDFpcXFhdzZlamkyDmguM2w4eXJhcHF2bDk3OAByITE3Z3NteEtpSU1IWnh6RDVHdXFNbG5fNG82bjRWZ1R2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LibreOffice/24.8.5.2$Linux_X86_64 LibreOffice_project/480$Build-2</Application>
  <AppVersion>15.0000</AppVersion>
  <Pages>6</Pages>
  <Words>1880</Words>
  <Characters>10762</Characters>
  <CharactersWithSpaces>12522</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2023-03-06T00:22:00Z</dcterms:created>
  <dc:creator>user38</dc:creator>
  <dc:description/>
  <dc:language>es-AR</dc:language>
  <cp:lastModifiedBy/>
  <dcterms:modified xsi:type="dcterms:W3CDTF">2025-03-14T09:05:24Z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